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73" w:rsidRDefault="00042773" w:rsidP="00B37CD1">
      <w:pPr>
        <w:widowControl/>
        <w:spacing w:line="600" w:lineRule="exact"/>
        <w:jc w:val="left"/>
        <w:rPr>
          <w:rFonts w:ascii="黑体" w:eastAsia="黑体" w:hAnsi="黑体" w:cs="Times New Roman"/>
          <w:sz w:val="32"/>
          <w:szCs w:val="32"/>
        </w:rPr>
      </w:pPr>
      <w:r w:rsidRPr="00B37CD1">
        <w:rPr>
          <w:rFonts w:ascii="黑体" w:eastAsia="黑体" w:hAnsi="黑体" w:cs="Times New Roman"/>
          <w:sz w:val="32"/>
          <w:szCs w:val="32"/>
        </w:rPr>
        <w:t>附件</w:t>
      </w:r>
      <w:r w:rsidR="005620FD">
        <w:rPr>
          <w:rFonts w:ascii="黑体" w:eastAsia="黑体" w:hAnsi="黑体" w:cs="Times New Roman" w:hint="eastAsia"/>
          <w:sz w:val="32"/>
          <w:szCs w:val="32"/>
        </w:rPr>
        <w:t>2</w:t>
      </w:r>
    </w:p>
    <w:p w:rsidR="00985A45" w:rsidRDefault="001C1829" w:rsidP="006476C2">
      <w:pPr>
        <w:spacing w:line="600" w:lineRule="exact"/>
        <w:jc w:val="center"/>
        <w:rPr>
          <w:rFonts w:ascii="Times New Roman" w:eastAsia="方正小标宋简体" w:hAnsi="Times New Roman" w:cs="Times New Roman"/>
          <w:sz w:val="44"/>
          <w:szCs w:val="44"/>
        </w:rPr>
      </w:pPr>
      <w:bookmarkStart w:id="0" w:name="_Toc492333653"/>
      <w:r>
        <w:rPr>
          <w:rFonts w:ascii="Times New Roman" w:eastAsia="方正小标宋简体" w:hAnsi="Times New Roman" w:cs="Times New Roman"/>
          <w:sz w:val="44"/>
          <w:szCs w:val="44"/>
        </w:rPr>
        <w:t>律师知识产权</w:t>
      </w:r>
      <w:r w:rsidR="00042773" w:rsidRPr="006476C2">
        <w:rPr>
          <w:rFonts w:ascii="Times New Roman" w:eastAsia="方正小标宋简体" w:hAnsi="Times New Roman" w:cs="Times New Roman"/>
          <w:sz w:val="44"/>
          <w:szCs w:val="44"/>
        </w:rPr>
        <w:t>案例</w:t>
      </w:r>
      <w:r>
        <w:rPr>
          <w:rFonts w:ascii="Times New Roman" w:eastAsia="方正小标宋简体" w:hAnsi="Times New Roman" w:cs="Times New Roman"/>
          <w:sz w:val="44"/>
          <w:szCs w:val="44"/>
        </w:rPr>
        <w:t>评析</w:t>
      </w:r>
    </w:p>
    <w:p w:rsidR="00042773" w:rsidRPr="006476C2" w:rsidRDefault="001C1829" w:rsidP="006476C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参考</w:t>
      </w:r>
      <w:r w:rsidR="00042773" w:rsidRPr="006476C2">
        <w:rPr>
          <w:rFonts w:ascii="Times New Roman" w:eastAsia="方正小标宋简体" w:hAnsi="Times New Roman" w:cs="Times New Roman"/>
          <w:sz w:val="44"/>
          <w:szCs w:val="44"/>
        </w:rPr>
        <w:t>文档格式</w:t>
      </w:r>
      <w:bookmarkEnd w:id="0"/>
    </w:p>
    <w:p w:rsidR="00042773" w:rsidRPr="006476C2" w:rsidRDefault="00042773" w:rsidP="006476C2">
      <w:pPr>
        <w:spacing w:line="600" w:lineRule="exact"/>
        <w:rPr>
          <w:rFonts w:ascii="Times New Roman" w:eastAsia="黑体" w:hAnsi="Times New Roman" w:cs="Times New Roman"/>
          <w:sz w:val="36"/>
          <w:szCs w:val="36"/>
        </w:rPr>
      </w:pPr>
    </w:p>
    <w:p w:rsidR="00042773" w:rsidRDefault="00424552" w:rsidP="006476C2">
      <w:pPr>
        <w:spacing w:line="600" w:lineRule="exact"/>
        <w:rPr>
          <w:rFonts w:ascii="Times New Roman" w:eastAsia="黑体" w:hAnsi="黑体" w:cs="Times New Roman"/>
          <w:sz w:val="36"/>
          <w:szCs w:val="36"/>
        </w:rPr>
      </w:pPr>
      <w:r>
        <w:rPr>
          <w:rFonts w:ascii="Times New Roman" w:eastAsia="黑体" w:hAnsi="黑体" w:cs="Times New Roman" w:hint="eastAsia"/>
          <w:sz w:val="36"/>
          <w:szCs w:val="36"/>
        </w:rPr>
        <w:t>一、</w:t>
      </w:r>
      <w:r w:rsidR="00042773" w:rsidRPr="006476C2">
        <w:rPr>
          <w:rFonts w:ascii="Times New Roman" w:eastAsia="黑体" w:hAnsi="黑体" w:cs="Times New Roman"/>
          <w:sz w:val="36"/>
          <w:szCs w:val="36"/>
        </w:rPr>
        <w:t>律师代理、辩护成功的诉讼案例文档格式</w:t>
      </w:r>
    </w:p>
    <w:p w:rsidR="001C1829" w:rsidRPr="006476C2" w:rsidRDefault="001C1829" w:rsidP="001C1829">
      <w:pPr>
        <w:spacing w:line="600" w:lineRule="exact"/>
        <w:ind w:firstLineChars="200" w:firstLine="640"/>
        <w:rPr>
          <w:rFonts w:ascii="Times New Roman" w:eastAsia="仿宋_GB2312" w:hAnsi="Times New Roman" w:cs="Times New Roman"/>
          <w:kern w:val="0"/>
          <w:sz w:val="32"/>
          <w:szCs w:val="32"/>
        </w:rPr>
      </w:pPr>
      <w:r w:rsidRPr="006476C2">
        <w:rPr>
          <w:rFonts w:ascii="Times New Roman" w:eastAsia="仿宋_GB2312" w:cs="Times New Roman"/>
          <w:sz w:val="32"/>
          <w:szCs w:val="32"/>
        </w:rPr>
        <w:t>包括案情介绍、代理意见、判决结果、案例评析、结语和建议，篇幅在</w:t>
      </w:r>
      <w:r w:rsidRPr="006476C2">
        <w:rPr>
          <w:rFonts w:ascii="Times New Roman" w:eastAsia="仿宋_GB2312" w:hAnsi="Times New Roman" w:cs="Times New Roman"/>
          <w:sz w:val="32"/>
          <w:szCs w:val="32"/>
        </w:rPr>
        <w:t>3000-5000</w:t>
      </w:r>
      <w:r w:rsidRPr="006476C2">
        <w:rPr>
          <w:rFonts w:ascii="Times New Roman" w:eastAsia="仿宋_GB2312" w:cs="Times New Roman"/>
          <w:sz w:val="32"/>
          <w:szCs w:val="32"/>
        </w:rPr>
        <w:t>字左右。</w:t>
      </w:r>
    </w:p>
    <w:p w:rsidR="001C1829" w:rsidRDefault="001C1829" w:rsidP="006476C2">
      <w:pPr>
        <w:autoSpaceDE w:val="0"/>
        <w:spacing w:line="600" w:lineRule="exact"/>
        <w:jc w:val="center"/>
        <w:rPr>
          <w:rFonts w:ascii="Times New Roman" w:eastAsia="长城小标宋体" w:hAnsi="Times New Roman" w:cs="Times New Roman"/>
          <w:color w:val="000000"/>
          <w:sz w:val="36"/>
          <w:szCs w:val="36"/>
        </w:rPr>
      </w:pPr>
    </w:p>
    <w:p w:rsidR="00042773" w:rsidRPr="006476C2" w:rsidRDefault="00042773" w:rsidP="006476C2">
      <w:pPr>
        <w:autoSpaceDE w:val="0"/>
        <w:spacing w:line="600" w:lineRule="exact"/>
        <w:jc w:val="center"/>
        <w:rPr>
          <w:rFonts w:ascii="Times New Roman" w:eastAsia="宋体" w:hAnsi="Times New Roman" w:cs="Times New Roman"/>
          <w:color w:val="000000"/>
          <w:sz w:val="36"/>
          <w:szCs w:val="36"/>
        </w:rPr>
      </w:pPr>
      <w:r w:rsidRPr="006476C2">
        <w:rPr>
          <w:rFonts w:ascii="Times New Roman" w:eastAsia="长城小标宋体" w:hAnsi="Times New Roman" w:cs="Times New Roman"/>
          <w:color w:val="000000"/>
          <w:sz w:val="36"/>
          <w:szCs w:val="36"/>
        </w:rPr>
        <w:t>案例标题</w:t>
      </w:r>
    </w:p>
    <w:p w:rsidR="00042773" w:rsidRPr="006476C2" w:rsidRDefault="00042773" w:rsidP="006476C2">
      <w:pPr>
        <w:autoSpaceDE w:val="0"/>
        <w:spacing w:line="600" w:lineRule="exact"/>
        <w:ind w:firstLineChars="1100" w:firstLine="3080"/>
        <w:rPr>
          <w:rFonts w:ascii="Times New Roman" w:eastAsia="楷体_GB2312" w:hAnsi="Times New Roman" w:cs="Times New Roman"/>
          <w:color w:val="000000"/>
          <w:sz w:val="28"/>
          <w:szCs w:val="28"/>
          <w:u w:val="single"/>
        </w:rPr>
      </w:pPr>
      <w:r w:rsidRPr="006476C2">
        <w:rPr>
          <w:rFonts w:ascii="Times New Roman" w:eastAsia="楷体_GB2312" w:hAnsi="Times New Roman" w:cs="Times New Roman"/>
          <w:color w:val="000000"/>
          <w:sz w:val="28"/>
          <w:szCs w:val="28"/>
          <w:u w:val="single"/>
        </w:rPr>
        <w:t>（作者）</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Default="00042773" w:rsidP="00813B15">
      <w:pPr>
        <w:spacing w:line="600" w:lineRule="exact"/>
        <w:ind w:firstLineChars="150" w:firstLine="48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【案情简介】</w:t>
      </w:r>
    </w:p>
    <w:p w:rsidR="0097245B" w:rsidRPr="0097245B" w:rsidRDefault="0097245B" w:rsidP="0097245B">
      <w:pPr>
        <w:spacing w:line="600" w:lineRule="exact"/>
        <w:ind w:firstLineChars="150" w:firstLine="480"/>
        <w:jc w:val="left"/>
        <w:rPr>
          <w:rFonts w:ascii="Times New Roman" w:eastAsia="仿宋_GB2312" w:hAnsi="Times New Roman" w:cs="Times New Roman"/>
          <w:sz w:val="32"/>
          <w:szCs w:val="32"/>
        </w:rPr>
      </w:pPr>
      <w:r w:rsidRPr="0097245B">
        <w:rPr>
          <w:rFonts w:ascii="Times New Roman" w:eastAsia="仿宋_GB2312" w:hAnsi="Times New Roman" w:cs="Times New Roman"/>
          <w:sz w:val="32"/>
          <w:szCs w:val="32"/>
        </w:rPr>
        <w:t>【争议焦点】</w:t>
      </w:r>
    </w:p>
    <w:p w:rsidR="0097245B" w:rsidRPr="0097245B" w:rsidRDefault="00042773" w:rsidP="00DC4341">
      <w:pPr>
        <w:spacing w:line="600" w:lineRule="exact"/>
        <w:ind w:firstLineChars="150" w:firstLine="480"/>
        <w:jc w:val="left"/>
        <w:rPr>
          <w:rFonts w:ascii="Times New Roman" w:eastAsia="仿宋_GB2312" w:hAnsi="Times New Roman" w:cs="Times New Roman"/>
          <w:b/>
          <w:sz w:val="32"/>
          <w:szCs w:val="32"/>
        </w:rPr>
      </w:pPr>
      <w:r w:rsidRPr="0097245B">
        <w:rPr>
          <w:rFonts w:ascii="Times New Roman" w:eastAsia="仿宋_GB2312" w:hAnsi="Times New Roman" w:cs="Times New Roman"/>
          <w:sz w:val="32"/>
          <w:szCs w:val="32"/>
        </w:rPr>
        <w:t>【代理意见】</w:t>
      </w:r>
      <w:r w:rsidR="0097245B" w:rsidRPr="0097245B">
        <w:rPr>
          <w:rFonts w:ascii="Times New Roman" w:eastAsia="仿宋_GB2312" w:hAnsi="Times New Roman" w:cs="Times New Roman" w:hint="eastAsia"/>
          <w:b/>
          <w:sz w:val="32"/>
          <w:szCs w:val="32"/>
        </w:rPr>
        <w:t>（非自己承办案例略去）</w:t>
      </w: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判决结果</w:t>
      </w:r>
      <w:r w:rsidRPr="006476C2">
        <w:rPr>
          <w:rFonts w:ascii="Times New Roman" w:eastAsia="黑体" w:hAnsi="黑体" w:cs="Times New Roman"/>
          <w:sz w:val="32"/>
          <w:szCs w:val="32"/>
        </w:rPr>
        <w:t>】</w:t>
      </w: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案例评析</w:t>
      </w:r>
      <w:r w:rsidRPr="006476C2">
        <w:rPr>
          <w:rFonts w:ascii="Times New Roman" w:eastAsia="黑体" w:hAnsi="黑体" w:cs="Times New Roman"/>
          <w:sz w:val="32"/>
          <w:szCs w:val="32"/>
        </w:rPr>
        <w:t>】</w:t>
      </w: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结语和建议</w:t>
      </w:r>
      <w:r w:rsidRPr="006476C2">
        <w:rPr>
          <w:rFonts w:ascii="Times New Roman" w:eastAsia="黑体" w:hAnsi="黑体" w:cs="Times New Roman"/>
          <w:sz w:val="32"/>
          <w:szCs w:val="32"/>
        </w:rPr>
        <w:t>】</w:t>
      </w:r>
    </w:p>
    <w:p w:rsidR="001C1829" w:rsidRDefault="001C1829">
      <w:pPr>
        <w:widowControl/>
        <w:jc w:val="left"/>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br w:type="page"/>
      </w:r>
    </w:p>
    <w:p w:rsidR="00424552" w:rsidRDefault="00424552" w:rsidP="00424552">
      <w:pPr>
        <w:spacing w:line="600" w:lineRule="exact"/>
        <w:rPr>
          <w:rFonts w:ascii="Times New Roman" w:eastAsia="黑体" w:hAnsi="黑体" w:cs="Times New Roman"/>
          <w:sz w:val="36"/>
          <w:szCs w:val="36"/>
        </w:rPr>
      </w:pPr>
      <w:r>
        <w:rPr>
          <w:rFonts w:ascii="Times New Roman" w:eastAsia="黑体" w:hAnsi="黑体" w:cs="Times New Roman" w:hint="eastAsia"/>
          <w:sz w:val="36"/>
          <w:szCs w:val="36"/>
        </w:rPr>
        <w:lastRenderedPageBreak/>
        <w:t>二、</w:t>
      </w:r>
      <w:r w:rsidR="00042773" w:rsidRPr="006476C2">
        <w:rPr>
          <w:rFonts w:ascii="Times New Roman" w:eastAsia="黑体" w:hAnsi="黑体" w:cs="Times New Roman"/>
          <w:sz w:val="36"/>
          <w:szCs w:val="36"/>
        </w:rPr>
        <w:t>律师非诉讼的成功案例文档格式</w:t>
      </w:r>
    </w:p>
    <w:p w:rsidR="001C1829" w:rsidRPr="006476C2" w:rsidRDefault="001C1829" w:rsidP="00424552">
      <w:pPr>
        <w:spacing w:line="600" w:lineRule="exact"/>
        <w:ind w:firstLineChars="200" w:firstLine="640"/>
        <w:rPr>
          <w:rFonts w:ascii="Times New Roman" w:eastAsia="仿宋" w:hAnsi="Times New Roman" w:cs="Times New Roman"/>
          <w:sz w:val="32"/>
          <w:szCs w:val="32"/>
        </w:rPr>
      </w:pPr>
      <w:r w:rsidRPr="006476C2">
        <w:rPr>
          <w:rFonts w:ascii="Times New Roman" w:eastAsia="仿宋_GB2312" w:cs="Times New Roman"/>
          <w:sz w:val="32"/>
          <w:szCs w:val="32"/>
        </w:rPr>
        <w:t>包括案情介绍、争议焦点、律师代理思路、案件结果概述、相关法律规定解读、案例评析、结语和建议，篇幅在</w:t>
      </w:r>
      <w:r w:rsidRPr="006476C2">
        <w:rPr>
          <w:rFonts w:ascii="Times New Roman" w:eastAsia="仿宋_GB2312" w:hAnsi="Times New Roman" w:cs="Times New Roman"/>
          <w:sz w:val="32"/>
          <w:szCs w:val="32"/>
        </w:rPr>
        <w:t>3000-5000</w:t>
      </w:r>
      <w:r w:rsidRPr="006476C2">
        <w:rPr>
          <w:rFonts w:ascii="Times New Roman" w:eastAsia="仿宋_GB2312" w:cs="Times New Roman"/>
          <w:sz w:val="32"/>
          <w:szCs w:val="32"/>
        </w:rPr>
        <w:t>字左右。</w:t>
      </w:r>
    </w:p>
    <w:p w:rsidR="001C1829" w:rsidRPr="006476C2" w:rsidRDefault="001C1829" w:rsidP="001C1829">
      <w:pPr>
        <w:widowControl/>
        <w:spacing w:line="600" w:lineRule="exact"/>
        <w:jc w:val="left"/>
        <w:rPr>
          <w:rFonts w:ascii="Times New Roman" w:eastAsia="仿宋" w:hAnsi="Times New Roman" w:cs="Times New Roman"/>
          <w:sz w:val="32"/>
          <w:szCs w:val="32"/>
        </w:rPr>
      </w:pPr>
    </w:p>
    <w:p w:rsidR="00042773" w:rsidRPr="006476C2" w:rsidRDefault="00042773" w:rsidP="006476C2">
      <w:pPr>
        <w:spacing w:line="600" w:lineRule="exact"/>
        <w:ind w:firstLineChars="200" w:firstLine="720"/>
        <w:jc w:val="center"/>
        <w:rPr>
          <w:rFonts w:ascii="Times New Roman" w:eastAsia="黑体" w:hAnsi="Times New Roman" w:cs="Times New Roman"/>
          <w:sz w:val="32"/>
          <w:szCs w:val="32"/>
        </w:rPr>
      </w:pPr>
      <w:r w:rsidRPr="006476C2">
        <w:rPr>
          <w:rFonts w:ascii="Times New Roman" w:eastAsia="长城小标宋体" w:hAnsi="Times New Roman" w:cs="Times New Roman"/>
          <w:color w:val="000000"/>
          <w:sz w:val="36"/>
          <w:szCs w:val="36"/>
        </w:rPr>
        <w:t>案例标题</w:t>
      </w:r>
    </w:p>
    <w:p w:rsidR="00042773" w:rsidRPr="006476C2" w:rsidRDefault="00042773" w:rsidP="006476C2">
      <w:pPr>
        <w:autoSpaceDE w:val="0"/>
        <w:spacing w:line="600" w:lineRule="exact"/>
        <w:ind w:firstLineChars="1100" w:firstLine="3080"/>
        <w:rPr>
          <w:rFonts w:ascii="Times New Roman" w:eastAsia="楷体_GB2312" w:hAnsi="Times New Roman" w:cs="Times New Roman"/>
          <w:color w:val="000000"/>
          <w:sz w:val="28"/>
          <w:szCs w:val="28"/>
          <w:u w:val="single"/>
        </w:rPr>
      </w:pPr>
      <w:r w:rsidRPr="006476C2">
        <w:rPr>
          <w:rFonts w:ascii="Times New Roman" w:eastAsia="楷体_GB2312" w:hAnsi="Times New Roman" w:cs="Times New Roman"/>
          <w:color w:val="000000"/>
          <w:sz w:val="28"/>
          <w:szCs w:val="28"/>
          <w:u w:val="single"/>
        </w:rPr>
        <w:t>（作者）</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【案情简介】</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【争议焦点】</w:t>
      </w:r>
    </w:p>
    <w:p w:rsidR="00042773" w:rsidRPr="0097245B" w:rsidRDefault="00042773" w:rsidP="006476C2">
      <w:pPr>
        <w:pStyle w:val="a5"/>
        <w:spacing w:line="600" w:lineRule="exact"/>
        <w:ind w:left="720" w:firstLineChars="0" w:firstLine="0"/>
        <w:jc w:val="left"/>
        <w:rPr>
          <w:rFonts w:ascii="Times New Roman" w:eastAsia="仿宋_GB2312" w:hAnsi="Times New Roman" w:cs="Times New Roman"/>
          <w:b/>
          <w:sz w:val="32"/>
          <w:szCs w:val="32"/>
        </w:rPr>
      </w:pPr>
      <w:r w:rsidRPr="006476C2">
        <w:rPr>
          <w:rFonts w:ascii="Times New Roman" w:eastAsia="仿宋_GB2312" w:hAnsi="Times New Roman" w:cs="Times New Roman"/>
          <w:sz w:val="32"/>
          <w:szCs w:val="32"/>
        </w:rPr>
        <w:t>【律师代理思路】</w:t>
      </w:r>
      <w:r w:rsidR="0097245B" w:rsidRPr="0097245B">
        <w:rPr>
          <w:rFonts w:ascii="Times New Roman" w:eastAsia="仿宋_GB2312" w:hAnsi="Times New Roman" w:cs="Times New Roman" w:hint="eastAsia"/>
          <w:b/>
          <w:sz w:val="32"/>
          <w:szCs w:val="32"/>
        </w:rPr>
        <w:t>（非自己承办案例略去）</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【案件结果】</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【案例评析】</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【结语和建议】</w:t>
      </w:r>
    </w:p>
    <w:p w:rsidR="0097245B" w:rsidRDefault="0097245B">
      <w:pPr>
        <w:widowControl/>
        <w:jc w:val="left"/>
        <w:rPr>
          <w:rFonts w:ascii="Times New Roman" w:eastAsia="仿宋_GB2312" w:hAnsi="Times New Roman" w:cs="Times New Roman"/>
          <w:sz w:val="32"/>
          <w:szCs w:val="32"/>
          <w:u w:val="single"/>
        </w:rPr>
      </w:pPr>
      <w:r>
        <w:rPr>
          <w:rFonts w:ascii="Times New Roman" w:eastAsia="仿宋_GB2312" w:hAnsi="Times New Roman" w:cs="Times New Roman"/>
          <w:sz w:val="32"/>
          <w:szCs w:val="32"/>
          <w:u w:val="single"/>
        </w:rPr>
        <w:br w:type="page"/>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Default="0097245B" w:rsidP="006476C2">
      <w:pPr>
        <w:spacing w:line="600" w:lineRule="exact"/>
        <w:ind w:right="640"/>
        <w:rPr>
          <w:rFonts w:ascii="黑体" w:eastAsia="黑体" w:hAnsi="黑体" w:cs="Times New Roman"/>
          <w:sz w:val="32"/>
          <w:szCs w:val="32"/>
        </w:rPr>
      </w:pPr>
      <w:r>
        <w:rPr>
          <w:rFonts w:ascii="黑体" w:eastAsia="黑体" w:hAnsi="黑体" w:cs="Times New Roman" w:hint="eastAsia"/>
          <w:sz w:val="32"/>
          <w:szCs w:val="32"/>
        </w:rPr>
        <w:t>参考示例</w:t>
      </w:r>
    </w:p>
    <w:p w:rsidR="0097245B" w:rsidRPr="00B37CD1" w:rsidRDefault="0097245B" w:rsidP="006476C2">
      <w:pPr>
        <w:spacing w:line="600" w:lineRule="exact"/>
        <w:ind w:right="640"/>
        <w:rPr>
          <w:rFonts w:ascii="黑体" w:eastAsia="黑体" w:hAnsi="黑体" w:cs="Times New Roman"/>
          <w:sz w:val="32"/>
          <w:szCs w:val="32"/>
        </w:rPr>
      </w:pPr>
    </w:p>
    <w:p w:rsidR="00042773" w:rsidRPr="006476C2" w:rsidRDefault="00042773" w:rsidP="00DC4341">
      <w:pPr>
        <w:spacing w:afterLines="50" w:after="156" w:line="600" w:lineRule="exact"/>
        <w:jc w:val="center"/>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南京某公司公司决议撤销纠纷案</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案情简介</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南京某公司系由北京某公司与邓某共同设立，其中北京某公司持股</w:t>
      </w:r>
      <w:r w:rsidRPr="006476C2">
        <w:rPr>
          <w:rFonts w:ascii="Times New Roman" w:eastAsia="仿宋" w:hAnsi="Times New Roman" w:cs="Times New Roman"/>
          <w:sz w:val="32"/>
          <w:szCs w:val="32"/>
        </w:rPr>
        <w:t>75%</w:t>
      </w:r>
      <w:r w:rsidRPr="006476C2">
        <w:rPr>
          <w:rFonts w:ascii="Times New Roman" w:eastAsia="仿宋" w:hAnsi="仿宋" w:cs="Times New Roman"/>
          <w:sz w:val="32"/>
          <w:szCs w:val="32"/>
        </w:rPr>
        <w:t>；邓某持股</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。邓某任南京某公司执行董事、法定代表人，孙某任南京某公司监事。</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由于南京某公司经营陷入僵局，</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日，南京某公司监事孙某、大股东北京某公司向邓某寄送《关于提请召开临时股东会会议的申请书》（下称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《申请书》</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），要求邓某于收到申请书之日起五日内召集并书面通知召开临时股东会会议，并于二十二日内召开临时股东会会议，否则将视为《公司章程》第十二条规定的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执行董事不能履行或不履行召集股东会会议职责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邓某接到《申请书》后，未如期召集股东会。监事孙某遂于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8</w:t>
      </w:r>
      <w:r w:rsidRPr="006476C2">
        <w:rPr>
          <w:rFonts w:ascii="Times New Roman" w:eastAsia="仿宋" w:hAnsi="仿宋" w:cs="Times New Roman"/>
          <w:sz w:val="32"/>
          <w:szCs w:val="32"/>
        </w:rPr>
        <w:t>日发出召集通知，于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日召开临时股东会（下称</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），会议通过决议免去邓某执行董事、法定代表人职务。</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14</w:t>
      </w:r>
      <w:r w:rsidRPr="006476C2">
        <w:rPr>
          <w:rFonts w:ascii="Times New Roman" w:eastAsia="仿宋" w:hAnsi="仿宋" w:cs="Times New Roman"/>
          <w:sz w:val="32"/>
          <w:szCs w:val="32"/>
        </w:rPr>
        <w:t>日，邓某发出召集临时股东会的通知，并于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日召开临时股东会（下称</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），会议通过决议免去邓某执行董事、法定代表人职务。该次股</w:t>
      </w:r>
      <w:r w:rsidRPr="006476C2">
        <w:rPr>
          <w:rFonts w:ascii="Times New Roman" w:eastAsia="仿宋" w:hAnsi="仿宋" w:cs="Times New Roman"/>
          <w:sz w:val="32"/>
          <w:szCs w:val="32"/>
        </w:rPr>
        <w:lastRenderedPageBreak/>
        <w:t>东会还审议了邓某提议的其他事项。</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邓某向法院提起诉讼，请求撤销</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日和</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日的两个股东会决议。一审法院以</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日股东会召集程序违反章程、</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日股东会决议内容超越股东会职权为由，判决撤销</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日和</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日的股东会决议。</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北京某公司不服一审判决，委托我所律师代理其提起上诉。二审判决以对</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日股东会决议的起诉已过</w:t>
      </w:r>
      <w:r w:rsidRPr="006476C2">
        <w:rPr>
          <w:rFonts w:ascii="Times New Roman" w:eastAsia="仿宋" w:hAnsi="Times New Roman" w:cs="Times New Roman"/>
          <w:sz w:val="32"/>
          <w:szCs w:val="32"/>
        </w:rPr>
        <w:t>60</w:t>
      </w:r>
      <w:r w:rsidRPr="006476C2">
        <w:rPr>
          <w:rFonts w:ascii="Times New Roman" w:eastAsia="仿宋" w:hAnsi="仿宋" w:cs="Times New Roman"/>
          <w:sz w:val="32"/>
          <w:szCs w:val="32"/>
        </w:rPr>
        <w:t>日撤销期限、</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日股东会决议内容并未超越股东会职权为由撤销一审判决，驳回邓某全部诉讼请求。</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代理意见</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我们认为，本案系公司决议撤销纠纷，主要争议焦点为股东会召集程序和决议内容是否违反公司章程的规定，以及邓某要求撤销股东会决议的时间是否超过了公司法规定的撤销期限。具体而言，包括：（</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）执行董事未在监事、股东要求的期限内召集、召开股东会，是否属于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执行董事不履行召集职责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而可以由监事自行召集会议的情形；（</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）邓某要求撤销股东会决议的时间是否超过了公司法规定的撤销期限（</w:t>
      </w:r>
      <w:r w:rsidRPr="006476C2">
        <w:rPr>
          <w:rFonts w:ascii="Times New Roman" w:eastAsia="仿宋" w:hAnsi="Times New Roman" w:cs="Times New Roman"/>
          <w:sz w:val="32"/>
          <w:szCs w:val="32"/>
        </w:rPr>
        <w:t>3</w:t>
      </w:r>
      <w:r w:rsidRPr="006476C2">
        <w:rPr>
          <w:rFonts w:ascii="Times New Roman" w:eastAsia="仿宋" w:hAnsi="仿宋" w:cs="Times New Roman"/>
          <w:sz w:val="32"/>
          <w:szCs w:val="32"/>
        </w:rPr>
        <w:t>）《公司章程》未规定股东会有权更换执行董事、法定代表人，股东会</w:t>
      </w:r>
      <w:proofErr w:type="gramStart"/>
      <w:r w:rsidRPr="006476C2">
        <w:rPr>
          <w:rFonts w:ascii="Times New Roman" w:eastAsia="仿宋" w:hAnsi="仿宋" w:cs="Times New Roman"/>
          <w:sz w:val="32"/>
          <w:szCs w:val="32"/>
        </w:rPr>
        <w:t>作出</w:t>
      </w:r>
      <w:proofErr w:type="gramEnd"/>
      <w:r w:rsidRPr="006476C2">
        <w:rPr>
          <w:rFonts w:ascii="Times New Roman" w:eastAsia="仿宋" w:hAnsi="仿宋" w:cs="Times New Roman"/>
          <w:sz w:val="32"/>
          <w:szCs w:val="32"/>
        </w:rPr>
        <w:t>相关决议免去执行董事、法定代表人职务是否超越职权并违反章程规定。</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一、关于</w:t>
      </w:r>
      <w:r w:rsidRPr="006476C2">
        <w:rPr>
          <w:rFonts w:ascii="Times New Roman" w:eastAsia="黑体" w:hAnsi="Times New Roman" w:cs="Times New Roman"/>
          <w:sz w:val="32"/>
          <w:szCs w:val="32"/>
        </w:rPr>
        <w:t>2015</w:t>
      </w:r>
      <w:r w:rsidRPr="006476C2">
        <w:rPr>
          <w:rFonts w:ascii="Times New Roman" w:eastAsia="黑体" w:hAnsi="黑体" w:cs="Times New Roman"/>
          <w:sz w:val="32"/>
          <w:szCs w:val="32"/>
        </w:rPr>
        <w:t>年</w:t>
      </w:r>
      <w:r w:rsidRPr="006476C2">
        <w:rPr>
          <w:rFonts w:ascii="Times New Roman" w:eastAsia="黑体" w:hAnsi="Times New Roman" w:cs="Times New Roman"/>
          <w:sz w:val="32"/>
          <w:szCs w:val="32"/>
        </w:rPr>
        <w:t>9</w:t>
      </w:r>
      <w:r w:rsidRPr="006476C2">
        <w:rPr>
          <w:rFonts w:ascii="Times New Roman" w:eastAsia="黑体" w:hAnsi="黑体" w:cs="Times New Roman"/>
          <w:sz w:val="32"/>
          <w:szCs w:val="32"/>
        </w:rPr>
        <w:t>月</w:t>
      </w:r>
      <w:r w:rsidRPr="006476C2">
        <w:rPr>
          <w:rFonts w:ascii="Times New Roman" w:eastAsia="黑体" w:hAnsi="Times New Roman" w:cs="Times New Roman"/>
          <w:sz w:val="32"/>
          <w:szCs w:val="32"/>
        </w:rPr>
        <w:t>25</w:t>
      </w:r>
      <w:r w:rsidRPr="006476C2">
        <w:rPr>
          <w:rFonts w:ascii="Times New Roman" w:eastAsia="黑体" w:hAnsi="黑体" w:cs="Times New Roman"/>
          <w:sz w:val="32"/>
          <w:szCs w:val="32"/>
        </w:rPr>
        <w:t>日股东会决议，其召集程序并未违反公司法的规定，且邓某要求撤销该股东会决议的时间</w:t>
      </w:r>
      <w:r w:rsidRPr="006476C2">
        <w:rPr>
          <w:rFonts w:ascii="Times New Roman" w:eastAsia="黑体" w:hAnsi="黑体" w:cs="Times New Roman"/>
          <w:sz w:val="32"/>
          <w:szCs w:val="32"/>
        </w:rPr>
        <w:lastRenderedPageBreak/>
        <w:t>已经超过了公司法规定的撤销期限。</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（一）</w:t>
      </w:r>
      <w:r w:rsidRPr="006476C2">
        <w:rPr>
          <w:rFonts w:ascii="Times New Roman" w:eastAsia="楷体" w:hAnsi="Times New Roman" w:cs="Times New Roman"/>
          <w:sz w:val="32"/>
          <w:szCs w:val="32"/>
        </w:rPr>
        <w:t xml:space="preserve"> 2015</w:t>
      </w:r>
      <w:r w:rsidRPr="006476C2">
        <w:rPr>
          <w:rFonts w:ascii="Times New Roman" w:eastAsia="楷体" w:hAnsi="楷体" w:cs="Times New Roman"/>
          <w:sz w:val="32"/>
          <w:szCs w:val="32"/>
        </w:rPr>
        <w:t>年</w:t>
      </w:r>
      <w:r w:rsidRPr="006476C2">
        <w:rPr>
          <w:rFonts w:ascii="Times New Roman" w:eastAsia="楷体" w:hAnsi="Times New Roman" w:cs="Times New Roman"/>
          <w:sz w:val="32"/>
          <w:szCs w:val="32"/>
        </w:rPr>
        <w:t>9</w:t>
      </w:r>
      <w:r w:rsidRPr="006476C2">
        <w:rPr>
          <w:rFonts w:ascii="Times New Roman" w:eastAsia="楷体" w:hAnsi="楷体" w:cs="Times New Roman"/>
          <w:sz w:val="32"/>
          <w:szCs w:val="32"/>
        </w:rPr>
        <w:t>月</w:t>
      </w:r>
      <w:r w:rsidRPr="006476C2">
        <w:rPr>
          <w:rFonts w:ascii="Times New Roman" w:eastAsia="楷体" w:hAnsi="Times New Roman" w:cs="Times New Roman"/>
          <w:sz w:val="32"/>
          <w:szCs w:val="32"/>
        </w:rPr>
        <w:t>25</w:t>
      </w:r>
      <w:r w:rsidRPr="006476C2">
        <w:rPr>
          <w:rFonts w:ascii="Times New Roman" w:eastAsia="楷体" w:hAnsi="楷体" w:cs="Times New Roman"/>
          <w:sz w:val="32"/>
          <w:szCs w:val="32"/>
        </w:rPr>
        <w:t>日股东会决议的召集程序并未违反公司法的规定。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公司监事于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8</w:t>
      </w:r>
      <w:r w:rsidRPr="006476C2">
        <w:rPr>
          <w:rFonts w:ascii="Times New Roman" w:eastAsia="仿宋" w:hAnsi="仿宋" w:cs="Times New Roman"/>
          <w:sz w:val="32"/>
          <w:szCs w:val="32"/>
        </w:rPr>
        <w:t>日对股东会的召集，是在邓某未履行股东会召集职责的情形下进行的，在《申请书》中，公司监事已经明确提出了股东会召集的期限，但邓某在期限内并未召集股东会会议，也未进行任何答复，应当视为未履行股东会召集职责。</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邓某于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14</w:t>
      </w:r>
      <w:r w:rsidRPr="006476C2">
        <w:rPr>
          <w:rFonts w:ascii="Times New Roman" w:eastAsia="仿宋" w:hAnsi="仿宋" w:cs="Times New Roman"/>
          <w:sz w:val="32"/>
          <w:szCs w:val="32"/>
        </w:rPr>
        <w:t>日对股东会的召集与公司监事召集的股东会审议内容并不完全相同，因此，邓某召集召开的股东会，并非是其依据公司监事的提议而召开的股东会，而是自行召集的一次新的股东会，即</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日股东会。即使北京某公司参加该次股东会，也不能因此否认</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日股东会召集程序的合法性。</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（二）邓某要求撤销该股东会决议的时间已经超过了公司法规定的撤销期限。</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根据《中华人民共和国公司法》（下称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《公司法》</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）第二十二条和最高人民法院《关于适用</w:t>
      </w:r>
      <w:r w:rsidRPr="006476C2">
        <w:rPr>
          <w:rFonts w:ascii="Times New Roman" w:eastAsia="仿宋" w:hAnsi="Times New Roman" w:cs="Times New Roman"/>
          <w:sz w:val="32"/>
          <w:szCs w:val="32"/>
        </w:rPr>
        <w:t>&lt;</w:t>
      </w:r>
      <w:r w:rsidRPr="006476C2">
        <w:rPr>
          <w:rFonts w:ascii="Times New Roman" w:eastAsia="仿宋" w:hAnsi="仿宋" w:cs="Times New Roman"/>
          <w:sz w:val="32"/>
          <w:szCs w:val="32"/>
        </w:rPr>
        <w:t>中华人民共和国公司法</w:t>
      </w:r>
      <w:r w:rsidRPr="006476C2">
        <w:rPr>
          <w:rFonts w:ascii="Times New Roman" w:eastAsia="仿宋" w:hAnsi="Times New Roman" w:cs="Times New Roman"/>
          <w:sz w:val="32"/>
          <w:szCs w:val="32"/>
        </w:rPr>
        <w:t>&gt;</w:t>
      </w:r>
      <w:r w:rsidRPr="006476C2">
        <w:rPr>
          <w:rFonts w:ascii="Times New Roman" w:eastAsia="仿宋" w:hAnsi="仿宋" w:cs="Times New Roman"/>
          <w:sz w:val="32"/>
          <w:szCs w:val="32"/>
        </w:rPr>
        <w:t>若干问题的规定（一）》（下称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《公司法司法解释一》</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）第三条的规定，股东要求撤销股东会决议的撤销期限为六十日，该期限的起算日为股东会决议</w:t>
      </w:r>
      <w:proofErr w:type="gramStart"/>
      <w:r w:rsidRPr="006476C2">
        <w:rPr>
          <w:rFonts w:ascii="Times New Roman" w:eastAsia="仿宋" w:hAnsi="仿宋" w:cs="Times New Roman"/>
          <w:sz w:val="32"/>
          <w:szCs w:val="32"/>
        </w:rPr>
        <w:t>作出</w:t>
      </w:r>
      <w:proofErr w:type="gramEnd"/>
      <w:r w:rsidRPr="006476C2">
        <w:rPr>
          <w:rFonts w:ascii="Times New Roman" w:eastAsia="仿宋" w:hAnsi="仿宋" w:cs="Times New Roman"/>
          <w:sz w:val="32"/>
          <w:szCs w:val="32"/>
        </w:rPr>
        <w:t>之日，并且，该期限不存在中止、中断、延长的情形，只要超过该期限，人民法</w:t>
      </w:r>
      <w:r w:rsidRPr="006476C2">
        <w:rPr>
          <w:rFonts w:ascii="Times New Roman" w:eastAsia="仿宋" w:hAnsi="仿宋" w:cs="Times New Roman"/>
          <w:sz w:val="32"/>
          <w:szCs w:val="32"/>
        </w:rPr>
        <w:lastRenderedPageBreak/>
        <w:t>院即不应受理。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本案中，邓某直至</w:t>
      </w:r>
      <w:r w:rsidRPr="006476C2">
        <w:rPr>
          <w:rFonts w:ascii="Times New Roman" w:eastAsia="仿宋" w:hAnsi="Times New Roman" w:cs="Times New Roman"/>
          <w:sz w:val="32"/>
          <w:szCs w:val="32"/>
        </w:rPr>
        <w:t>2016</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26</w:t>
      </w:r>
      <w:r w:rsidRPr="006476C2">
        <w:rPr>
          <w:rFonts w:ascii="Times New Roman" w:eastAsia="仿宋" w:hAnsi="仿宋" w:cs="Times New Roman"/>
          <w:sz w:val="32"/>
          <w:szCs w:val="32"/>
        </w:rPr>
        <w:t>日才向一审法院提出撤销</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日股东会决议的诉讼请求，明显超过了上述公司法规定的</w:t>
      </w:r>
      <w:proofErr w:type="gramStart"/>
      <w:r w:rsidRPr="006476C2">
        <w:rPr>
          <w:rFonts w:ascii="Times New Roman" w:eastAsia="仿宋" w:hAnsi="仿宋" w:cs="Times New Roman"/>
          <w:sz w:val="32"/>
          <w:szCs w:val="32"/>
        </w:rPr>
        <w:t>自股东</w:t>
      </w:r>
      <w:proofErr w:type="gramEnd"/>
      <w:r w:rsidRPr="006476C2">
        <w:rPr>
          <w:rFonts w:ascii="Times New Roman" w:eastAsia="仿宋" w:hAnsi="仿宋" w:cs="Times New Roman"/>
          <w:sz w:val="32"/>
          <w:szCs w:val="32"/>
        </w:rPr>
        <w:t>会决议</w:t>
      </w:r>
      <w:proofErr w:type="gramStart"/>
      <w:r w:rsidRPr="006476C2">
        <w:rPr>
          <w:rFonts w:ascii="Times New Roman" w:eastAsia="仿宋" w:hAnsi="仿宋" w:cs="Times New Roman"/>
          <w:sz w:val="32"/>
          <w:szCs w:val="32"/>
        </w:rPr>
        <w:t>作出</w:t>
      </w:r>
      <w:proofErr w:type="gramEnd"/>
      <w:r w:rsidRPr="006476C2">
        <w:rPr>
          <w:rFonts w:ascii="Times New Roman" w:eastAsia="仿宋" w:hAnsi="仿宋" w:cs="Times New Roman"/>
          <w:sz w:val="32"/>
          <w:szCs w:val="32"/>
        </w:rPr>
        <w:t>之日起六十日的撤销期限，因此，一审法院对于该项诉讼请求应当驳回被上诉人的起诉。</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黑体" w:hAnsi="黑体" w:cs="Times New Roman"/>
          <w:sz w:val="32"/>
          <w:szCs w:val="32"/>
        </w:rPr>
        <w:t>二、</w:t>
      </w:r>
      <w:r w:rsidRPr="006476C2">
        <w:rPr>
          <w:rFonts w:ascii="Times New Roman" w:eastAsia="黑体" w:hAnsi="Times New Roman" w:cs="Times New Roman"/>
          <w:sz w:val="32"/>
          <w:szCs w:val="32"/>
        </w:rPr>
        <w:t>2015</w:t>
      </w:r>
      <w:r w:rsidRPr="006476C2">
        <w:rPr>
          <w:rFonts w:ascii="Times New Roman" w:eastAsia="黑体" w:hAnsi="黑体" w:cs="Times New Roman"/>
          <w:sz w:val="32"/>
          <w:szCs w:val="32"/>
        </w:rPr>
        <w:t>年</w:t>
      </w:r>
      <w:r w:rsidRPr="006476C2">
        <w:rPr>
          <w:rFonts w:ascii="Times New Roman" w:eastAsia="黑体" w:hAnsi="Times New Roman" w:cs="Times New Roman"/>
          <w:sz w:val="32"/>
          <w:szCs w:val="32"/>
        </w:rPr>
        <w:t>9</w:t>
      </w:r>
      <w:r w:rsidRPr="006476C2">
        <w:rPr>
          <w:rFonts w:ascii="Times New Roman" w:eastAsia="黑体" w:hAnsi="黑体" w:cs="Times New Roman"/>
          <w:sz w:val="32"/>
          <w:szCs w:val="32"/>
        </w:rPr>
        <w:t>月</w:t>
      </w:r>
      <w:r w:rsidRPr="006476C2">
        <w:rPr>
          <w:rFonts w:ascii="Times New Roman" w:eastAsia="黑体" w:hAnsi="Times New Roman" w:cs="Times New Roman"/>
          <w:sz w:val="32"/>
          <w:szCs w:val="32"/>
        </w:rPr>
        <w:t>30</w:t>
      </w:r>
      <w:r w:rsidRPr="006476C2">
        <w:rPr>
          <w:rFonts w:ascii="Times New Roman" w:eastAsia="黑体" w:hAnsi="黑体" w:cs="Times New Roman"/>
          <w:sz w:val="32"/>
          <w:szCs w:val="32"/>
        </w:rPr>
        <w:t>日股东会决议中关于更换执行董事、法定代表人的决议内容，不违反公司章程的任何规定。</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sz w:val="32"/>
          <w:szCs w:val="32"/>
        </w:rPr>
        <w:t>首先，《</w:t>
      </w:r>
      <w:r w:rsidRPr="006476C2">
        <w:rPr>
          <w:rFonts w:ascii="Times New Roman" w:eastAsia="仿宋" w:hAnsi="仿宋" w:cs="Times New Roman"/>
          <w:bCs/>
          <w:sz w:val="32"/>
          <w:szCs w:val="32"/>
        </w:rPr>
        <w:t>公司章程》中虽未明确规定股东会具有更换非由职工代表担任的董事的权限，但也并未排除股东会的相应权限，因此该项股东会决议内容并未违反章程规定。</w:t>
      </w:r>
      <w:r w:rsidRPr="006476C2">
        <w:rPr>
          <w:rFonts w:ascii="Times New Roman" w:eastAsia="仿宋" w:hAnsi="仿宋" w:cs="Times New Roman"/>
          <w:sz w:val="32"/>
          <w:szCs w:val="32"/>
        </w:rPr>
        <w:t>《公司章程》第二十条规定了公司应当解除法定代表人职务的情形，但并未限制公司不能在其他情形下解除法定代表人职务。</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bCs/>
          <w:sz w:val="32"/>
          <w:szCs w:val="32"/>
        </w:rPr>
        <w:t>其次，《</w:t>
      </w:r>
      <w:r w:rsidRPr="006476C2">
        <w:rPr>
          <w:rFonts w:ascii="Times New Roman" w:eastAsia="仿宋" w:hAnsi="仿宋" w:cs="Times New Roman"/>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bCs/>
          <w:sz w:val="32"/>
          <w:szCs w:val="32"/>
        </w:rPr>
        <w:t>最后，《公司章程》第二条规定：</w:t>
      </w:r>
      <w:r w:rsidRPr="006476C2">
        <w:rPr>
          <w:rFonts w:ascii="Times New Roman" w:eastAsia="仿宋" w:hAnsi="Times New Roman" w:cs="Times New Roman"/>
          <w:bCs/>
          <w:sz w:val="32"/>
          <w:szCs w:val="32"/>
        </w:rPr>
        <w:t>“</w:t>
      </w:r>
      <w:r w:rsidRPr="006476C2">
        <w:rPr>
          <w:rFonts w:ascii="Times New Roman" w:eastAsia="仿宋" w:hAnsi="仿宋" w:cs="Times New Roman"/>
          <w:bCs/>
          <w:sz w:val="32"/>
          <w:szCs w:val="32"/>
        </w:rPr>
        <w:t>本章程中的各项条款与法律、法规、规章不符的，以法律、法规、规章的规定为准。</w:t>
      </w:r>
      <w:r w:rsidRPr="006476C2">
        <w:rPr>
          <w:rFonts w:ascii="Times New Roman" w:eastAsia="仿宋" w:hAnsi="Times New Roman" w:cs="Times New Roman"/>
          <w:bCs/>
          <w:sz w:val="32"/>
          <w:szCs w:val="32"/>
        </w:rPr>
        <w:t>”</w:t>
      </w:r>
      <w:r w:rsidRPr="006476C2">
        <w:rPr>
          <w:rFonts w:ascii="Times New Roman" w:eastAsia="仿宋" w:hAnsi="仿宋" w:cs="Times New Roman"/>
          <w:bCs/>
          <w:sz w:val="32"/>
          <w:szCs w:val="32"/>
        </w:rPr>
        <w:t>据此，即使认定《公司章程》未规定公司股东会有权更换执行董事，但适用《公司法》第三十七条关于股东会职权的相关规定，股东会有权选举和更换非由职工代表担任的董</w:t>
      </w:r>
      <w:r w:rsidRPr="006476C2">
        <w:rPr>
          <w:rFonts w:ascii="Times New Roman" w:eastAsia="仿宋" w:hAnsi="仿宋" w:cs="Times New Roman"/>
          <w:bCs/>
          <w:sz w:val="32"/>
          <w:szCs w:val="32"/>
        </w:rPr>
        <w:lastRenderedPageBreak/>
        <w:t>事。</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bCs/>
          <w:sz w:val="32"/>
          <w:szCs w:val="32"/>
        </w:rPr>
        <w:t>因此，</w:t>
      </w:r>
      <w:r w:rsidRPr="006476C2">
        <w:rPr>
          <w:rFonts w:ascii="Times New Roman" w:eastAsia="仿宋" w:hAnsi="Times New Roman" w:cs="Times New Roman"/>
          <w:bCs/>
          <w:sz w:val="32"/>
          <w:szCs w:val="32"/>
        </w:rPr>
        <w:t>2015</w:t>
      </w:r>
      <w:r w:rsidRPr="006476C2">
        <w:rPr>
          <w:rFonts w:ascii="Times New Roman" w:eastAsia="仿宋" w:hAnsi="仿宋" w:cs="Times New Roman"/>
          <w:bCs/>
          <w:sz w:val="32"/>
          <w:szCs w:val="32"/>
        </w:rPr>
        <w:t>年</w:t>
      </w:r>
      <w:r w:rsidRPr="006476C2">
        <w:rPr>
          <w:rFonts w:ascii="Times New Roman" w:eastAsia="仿宋" w:hAnsi="Times New Roman" w:cs="Times New Roman"/>
          <w:bCs/>
          <w:sz w:val="32"/>
          <w:szCs w:val="32"/>
        </w:rPr>
        <w:t>9</w:t>
      </w:r>
      <w:r w:rsidRPr="006476C2">
        <w:rPr>
          <w:rFonts w:ascii="Times New Roman" w:eastAsia="仿宋" w:hAnsi="仿宋" w:cs="Times New Roman"/>
          <w:bCs/>
          <w:sz w:val="32"/>
          <w:szCs w:val="32"/>
        </w:rPr>
        <w:t>月</w:t>
      </w:r>
      <w:r w:rsidRPr="006476C2">
        <w:rPr>
          <w:rFonts w:ascii="Times New Roman" w:eastAsia="仿宋" w:hAnsi="Times New Roman" w:cs="Times New Roman"/>
          <w:bCs/>
          <w:sz w:val="32"/>
          <w:szCs w:val="32"/>
        </w:rPr>
        <w:t>30</w:t>
      </w:r>
      <w:r w:rsidRPr="006476C2">
        <w:rPr>
          <w:rFonts w:ascii="Times New Roman" w:eastAsia="仿宋" w:hAnsi="仿宋" w:cs="Times New Roman"/>
          <w:bCs/>
          <w:sz w:val="32"/>
          <w:szCs w:val="32"/>
        </w:rPr>
        <w:t>日股东会决议中关于更换执行董事、法定代表人的决议内容，不违反公司章程的任何规定。</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【判决结果】</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bCs/>
          <w:sz w:val="32"/>
          <w:szCs w:val="32"/>
        </w:rPr>
        <w:t>二审法院判决，撤销一审判决，驳回邓某一审全部诉讼请求。</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案例评析</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一、执行董事未在监事或股东要求的期限内召开临时股东会，是否属于执行董事不履行临时股东会召集职责之情形？</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关于《公司法》第三十九条、第四十条规定的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执行董事不能履行或者不履行召集职责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应当如何理解的问题，虽然公司法以及南京某公司的章程均未明确，但在法理解释上一般认为</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不能履行召集职责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，多指因某些原因导致召集者客观上欠缺召集能力而无法履行召集职责之情形；而</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不履行召集职责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，多指召集者有召集能力但因某种原因不履行召集职责之情形。</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告起诉期限已经超过</w:t>
      </w:r>
      <w:r w:rsidRPr="006476C2">
        <w:rPr>
          <w:rFonts w:ascii="Times New Roman" w:eastAsia="仿宋" w:hAnsi="Times New Roman" w:cs="Times New Roman"/>
          <w:sz w:val="32"/>
          <w:szCs w:val="32"/>
        </w:rPr>
        <w:t>60</w:t>
      </w:r>
      <w:r w:rsidRPr="006476C2">
        <w:rPr>
          <w:rFonts w:ascii="Times New Roman" w:eastAsia="仿宋" w:hAnsi="仿宋" w:cs="Times New Roman"/>
          <w:sz w:val="32"/>
          <w:szCs w:val="32"/>
        </w:rPr>
        <w:t>天的法定期限为由驳回原告诉讼请</w:t>
      </w:r>
      <w:r w:rsidRPr="006476C2">
        <w:rPr>
          <w:rFonts w:ascii="Times New Roman" w:eastAsia="仿宋" w:hAnsi="仿宋" w:cs="Times New Roman"/>
          <w:sz w:val="32"/>
          <w:szCs w:val="32"/>
        </w:rPr>
        <w:lastRenderedPageBreak/>
        <w:t>求，但二审判决认定公司监事召集</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日股东会的程序违反章程规定，依据不足，我们不能认同。</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二、公司章程未规定股东会有权更换执行董事，股东会</w:t>
      </w:r>
      <w:proofErr w:type="gramStart"/>
      <w:r w:rsidRPr="006476C2">
        <w:rPr>
          <w:rFonts w:ascii="Times New Roman" w:eastAsia="黑体" w:hAnsi="黑体" w:cs="Times New Roman"/>
          <w:sz w:val="32"/>
          <w:szCs w:val="32"/>
        </w:rPr>
        <w:t>作出</w:t>
      </w:r>
      <w:proofErr w:type="gramEnd"/>
      <w:r w:rsidRPr="006476C2">
        <w:rPr>
          <w:rFonts w:ascii="Times New Roman" w:eastAsia="黑体" w:hAnsi="黑体" w:cs="Times New Roman"/>
          <w:sz w:val="32"/>
          <w:szCs w:val="32"/>
        </w:rPr>
        <w:t>相关决议更换执行董事是否属于违反公司章程规定？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楷体" w:hAnsi="楷体" w:cs="Times New Roman"/>
          <w:sz w:val="32"/>
          <w:szCs w:val="32"/>
        </w:rPr>
        <w:t>（一）从章程的文义解释和体系解释而言，</w:t>
      </w:r>
      <w:r w:rsidRPr="006476C2">
        <w:rPr>
          <w:rFonts w:ascii="Times New Roman" w:eastAsia="楷体" w:hAnsi="Times New Roman" w:cs="Times New Roman"/>
          <w:sz w:val="32"/>
          <w:szCs w:val="32"/>
        </w:rPr>
        <w:t>30</w:t>
      </w:r>
      <w:r w:rsidRPr="006476C2">
        <w:rPr>
          <w:rFonts w:ascii="Times New Roman" w:eastAsia="楷体" w:hAnsi="楷体" w:cs="Times New Roman"/>
          <w:sz w:val="32"/>
          <w:szCs w:val="32"/>
        </w:rPr>
        <w:t>日股东会免除邓某执行董事、法定代表人职务的决议并未超越股东会职权，也不违反公司章程的规定。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从文义解释角度而言，《公司章程》第二十条虽然规定了四种情形下，</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公司应当解除</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法定代表人职务，但这并不意味着在其他情形，公司不能解除法定代表人职务。在文义上，上述规定是指在四种情形下公司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应当解除</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法定代表人职务，该条规定只是建立了公司解除法定代表人职务的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最低标准</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即，在该章程约定的情形，解除法定代表人职务是公司的义务。上述章程规定并未形成解除法定代表人职务的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全部标准</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即，未排除在该四种情形以外公司仍可解除法定代表人的权利，只是在该四种情形之外，解除法定代表人职务并非公司的义务，而是公司的权利。</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从体系解释角度而言，《公司章程》并未排除股东会解除执行董事的权利。虽然在《公司章程》有关股东会职权部分并未明确规定股东会解除执行董事的权利，但《公司章程》第十四条明确规定了股东会对于执行董事、法定代表人享有选举权。依体系解释原则，按照</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谁选举谁罢免</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的原则，有</w:t>
      </w:r>
      <w:r w:rsidRPr="006476C2">
        <w:rPr>
          <w:rFonts w:ascii="Times New Roman" w:eastAsia="仿宋" w:hAnsi="仿宋" w:cs="Times New Roman"/>
          <w:sz w:val="32"/>
          <w:szCs w:val="32"/>
        </w:rPr>
        <w:lastRenderedPageBreak/>
        <w:t>选举权的机构当然也有罢免被选人员的权利。</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楷体" w:hAnsi="楷体" w:cs="Times New Roman"/>
          <w:sz w:val="32"/>
          <w:szCs w:val="32"/>
        </w:rPr>
        <w:t>（二）从《公司法》立法修改的历史解释角度而言，</w:t>
      </w:r>
      <w:r w:rsidRPr="006476C2">
        <w:rPr>
          <w:rFonts w:ascii="Times New Roman" w:eastAsia="楷体" w:hAnsi="Times New Roman" w:cs="Times New Roman"/>
          <w:sz w:val="32"/>
          <w:szCs w:val="32"/>
        </w:rPr>
        <w:t>30</w:t>
      </w:r>
      <w:r w:rsidRPr="006476C2">
        <w:rPr>
          <w:rFonts w:ascii="Times New Roman" w:eastAsia="楷体" w:hAnsi="楷体" w:cs="Times New Roman"/>
          <w:sz w:val="32"/>
          <w:szCs w:val="32"/>
        </w:rPr>
        <w:t>日股东会免除邓某执行董事、法定代表人职务的决议并未超越股东会职权，也不违反公司章程的规定。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从历史解释角度而言，我国《公司法》关于股东会解任董事的规定经历了从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有因解任</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无因解任</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的变迁过程。具体而言，</w:t>
      </w:r>
      <w:r w:rsidRPr="006476C2">
        <w:rPr>
          <w:rFonts w:ascii="Times New Roman" w:eastAsia="仿宋" w:hAnsi="Times New Roman" w:cs="Times New Roman"/>
          <w:sz w:val="32"/>
          <w:szCs w:val="32"/>
        </w:rPr>
        <w:t>1993</w:t>
      </w:r>
      <w:r w:rsidRPr="006476C2">
        <w:rPr>
          <w:rFonts w:ascii="Times New Roman" w:eastAsia="仿宋" w:hAnsi="仿宋" w:cs="Times New Roman"/>
          <w:sz w:val="32"/>
          <w:szCs w:val="32"/>
        </w:rPr>
        <w:t>年《公司法》第四十七条规定：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董事任期由公司章程规定，但每届任期不得超过三年。董事任期届满，连选可以连任。董事在任期届满前，股东会不得无故解除其职务。</w:t>
      </w:r>
      <w:r w:rsidRPr="006476C2">
        <w:rPr>
          <w:rFonts w:ascii="Times New Roman" w:eastAsia="仿宋" w:hAnsi="Times New Roman" w:cs="Times New Roman"/>
          <w:sz w:val="32"/>
          <w:szCs w:val="32"/>
        </w:rPr>
        <w:t>”1999</w:t>
      </w:r>
      <w:r w:rsidRPr="006476C2">
        <w:rPr>
          <w:rFonts w:ascii="Times New Roman" w:eastAsia="仿宋" w:hAnsi="仿宋" w:cs="Times New Roman"/>
          <w:sz w:val="32"/>
          <w:szCs w:val="32"/>
        </w:rPr>
        <w:t>年修正的《公司法》维持了上述规定；但</w:t>
      </w:r>
      <w:r w:rsidRPr="006476C2">
        <w:rPr>
          <w:rFonts w:ascii="Times New Roman" w:eastAsia="仿宋" w:hAnsi="Times New Roman" w:cs="Times New Roman"/>
          <w:sz w:val="32"/>
          <w:szCs w:val="32"/>
        </w:rPr>
        <w:t>2005</w:t>
      </w:r>
      <w:r w:rsidRPr="006476C2">
        <w:rPr>
          <w:rFonts w:ascii="Times New Roman" w:eastAsia="仿宋" w:hAnsi="仿宋" w:cs="Times New Roman"/>
          <w:sz w:val="32"/>
          <w:szCs w:val="32"/>
        </w:rPr>
        <w:t>年《公司法》第四十六条删除了关于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股东会不得无故解除董事职务</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的规定，这就意味着股东会罢免董事职务，毋需特别说明理由；其后的《公司法》延续了这一规定。因此，从公司法的历史变迁而言，股东会罢免董事经历了从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严格控制</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（要求解任有故）到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宽松控制</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（不要求解任有故）的过程。这也印证了在南京某公司《公司章程》规定的最低解除董事职务的原因外，其股东会仍可按照法律规定对执行董事进行</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无因解任</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（三）在公司章程未对</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股东会更换执行董事、法定代表人</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的职权</w:t>
      </w:r>
      <w:proofErr w:type="gramStart"/>
      <w:r w:rsidRPr="006476C2">
        <w:rPr>
          <w:rFonts w:ascii="Times New Roman" w:eastAsia="楷体" w:hAnsi="楷体" w:cs="Times New Roman"/>
          <w:sz w:val="32"/>
          <w:szCs w:val="32"/>
        </w:rPr>
        <w:t>作出</w:t>
      </w:r>
      <w:proofErr w:type="gramEnd"/>
      <w:r w:rsidRPr="006476C2">
        <w:rPr>
          <w:rFonts w:ascii="Times New Roman" w:eastAsia="楷体" w:hAnsi="楷体" w:cs="Times New Roman"/>
          <w:sz w:val="32"/>
          <w:szCs w:val="32"/>
        </w:rPr>
        <w:t>具体规定的情况下，应当认为，公司股东会依据《公司法》赋予股东会的一般职权，有权更换执行董事和法定代表人，人民法院应以谦抑性为原则，不轻易否定公司</w:t>
      </w:r>
      <w:r w:rsidRPr="006476C2">
        <w:rPr>
          <w:rFonts w:ascii="Times New Roman" w:eastAsia="楷体" w:hAnsi="楷体" w:cs="Times New Roman"/>
          <w:sz w:val="32"/>
          <w:szCs w:val="32"/>
        </w:rPr>
        <w:lastRenderedPageBreak/>
        <w:t>决议效力。</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结语和建议</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公司控制权之</w:t>
      </w:r>
      <w:proofErr w:type="gramStart"/>
      <w:r w:rsidRPr="006476C2">
        <w:rPr>
          <w:rFonts w:ascii="Times New Roman" w:eastAsia="仿宋" w:hAnsi="仿宋" w:cs="Times New Roman"/>
          <w:sz w:val="32"/>
          <w:szCs w:val="32"/>
        </w:rPr>
        <w:t>争作为</w:t>
      </w:r>
      <w:proofErr w:type="gramEnd"/>
      <w:r w:rsidRPr="006476C2">
        <w:rPr>
          <w:rFonts w:ascii="Times New Roman" w:eastAsia="仿宋" w:hAnsi="仿宋" w:cs="Times New Roman"/>
          <w:sz w:val="32"/>
          <w:szCs w:val="32"/>
        </w:rPr>
        <w:t>最常见、最突出的股东矛盾之一，公司控制权的转移对公司治理具有重大影响，但在公司法的司法实践中，各级法院往往出现对法律规定的不同理解和适用，尤其是程序事项在何种情况下会影响股东会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股东大会、董事会决议效力的问题上，容易出现不同的裁判结果。在司法实践的进程中，希望能逐步统一认识。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w:t>
      </w:r>
      <w:r w:rsidRPr="006476C2">
        <w:rPr>
          <w:rFonts w:ascii="Times New Roman" w:eastAsia="仿宋" w:hAnsi="Times New Roman" w:cs="Times New Roman"/>
          <w:sz w:val="32"/>
          <w:szCs w:val="32"/>
        </w:rPr>
        <w:t>20</w:t>
      </w:r>
      <w:r w:rsidRPr="006476C2">
        <w:rPr>
          <w:rFonts w:ascii="Times New Roman" w:eastAsia="仿宋" w:hAnsi="仿宋" w:cs="Times New Roman"/>
          <w:sz w:val="32"/>
          <w:szCs w:val="32"/>
        </w:rPr>
        <w:t>天之内召集），则就可能不会发生本案公司决议效力的争议。</w:t>
      </w:r>
    </w:p>
    <w:p w:rsidR="00042773" w:rsidRPr="006476C2" w:rsidRDefault="00042773" w:rsidP="006476C2">
      <w:pPr>
        <w:widowControl/>
        <w:spacing w:line="600" w:lineRule="exact"/>
        <w:jc w:val="left"/>
        <w:rPr>
          <w:rFonts w:ascii="Times New Roman" w:eastAsia="黑体" w:hAnsi="Times New Roman" w:cs="Times New Roman"/>
          <w:sz w:val="36"/>
          <w:szCs w:val="36"/>
        </w:rPr>
      </w:pPr>
      <w:r w:rsidRPr="006476C2">
        <w:rPr>
          <w:rFonts w:ascii="Times New Roman" w:eastAsia="黑体" w:hAnsi="Times New Roman" w:cs="Times New Roman"/>
          <w:sz w:val="36"/>
          <w:szCs w:val="36"/>
        </w:rPr>
        <w:br w:type="page"/>
      </w:r>
      <w:r w:rsidRPr="006476C2">
        <w:rPr>
          <w:rFonts w:ascii="Times New Roman" w:eastAsia="黑体" w:hAnsi="Times New Roman" w:cs="Times New Roman"/>
          <w:sz w:val="36"/>
          <w:szCs w:val="36"/>
        </w:rPr>
        <w:lastRenderedPageBreak/>
        <w:t>2</w:t>
      </w:r>
      <w:r w:rsidRPr="006476C2">
        <w:rPr>
          <w:rFonts w:ascii="Times New Roman" w:eastAsia="黑体" w:hAnsi="黑体" w:cs="Times New Roman"/>
          <w:sz w:val="36"/>
          <w:szCs w:val="36"/>
        </w:rPr>
        <w:t>．律师非诉讼案例</w:t>
      </w:r>
    </w:p>
    <w:p w:rsidR="00042773" w:rsidRPr="006476C2" w:rsidRDefault="00042773" w:rsidP="006476C2">
      <w:pPr>
        <w:spacing w:line="600" w:lineRule="exact"/>
        <w:ind w:firstLineChars="200" w:firstLine="720"/>
        <w:jc w:val="center"/>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北京兴昌达博房地产开发有限公司破产重组案</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案情简介</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北京兴昌达博房地产开发有限公司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兴昌达博公司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系</w:t>
      </w: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年注册成立，为开发</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鸣花园项目而设立的项目公司，注册资本金为人民币</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亿元。公司股东分别为北京</w:t>
      </w:r>
      <w:proofErr w:type="gramStart"/>
      <w:r w:rsidRPr="006476C2">
        <w:rPr>
          <w:rFonts w:ascii="Times New Roman" w:eastAsia="仿宋" w:hAnsi="仿宋" w:cs="Times New Roman"/>
          <w:sz w:val="32"/>
          <w:szCs w:val="32"/>
        </w:rPr>
        <w:t>东方达博置业</w:t>
      </w:r>
      <w:proofErr w:type="gramEnd"/>
      <w:r w:rsidRPr="006476C2">
        <w:rPr>
          <w:rFonts w:ascii="Times New Roman" w:eastAsia="仿宋" w:hAnsi="仿宋" w:cs="Times New Roman"/>
          <w:sz w:val="32"/>
          <w:szCs w:val="32"/>
        </w:rPr>
        <w:t>投资有限公司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东方达博公司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、黄某及北京兴昌高科技发展总公司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兴昌高科公司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。其中</w:t>
      </w:r>
      <w:proofErr w:type="gramStart"/>
      <w:r w:rsidRPr="006476C2">
        <w:rPr>
          <w:rFonts w:ascii="Times New Roman" w:eastAsia="仿宋" w:hAnsi="仿宋" w:cs="Times New Roman"/>
          <w:sz w:val="32"/>
          <w:szCs w:val="32"/>
        </w:rPr>
        <w:t>东方达博公司</w:t>
      </w:r>
      <w:proofErr w:type="gramEnd"/>
      <w:r w:rsidRPr="006476C2">
        <w:rPr>
          <w:rFonts w:ascii="Times New Roman" w:eastAsia="仿宋" w:hAnsi="仿宋" w:cs="Times New Roman"/>
          <w:sz w:val="32"/>
          <w:szCs w:val="32"/>
        </w:rPr>
        <w:t>出资人民币</w:t>
      </w:r>
      <w:r w:rsidRPr="006476C2">
        <w:rPr>
          <w:rFonts w:ascii="Times New Roman" w:eastAsia="仿宋" w:hAnsi="Times New Roman" w:cs="Times New Roman"/>
          <w:sz w:val="32"/>
          <w:szCs w:val="32"/>
        </w:rPr>
        <w:t>7 000</w:t>
      </w:r>
      <w:r w:rsidRPr="006476C2">
        <w:rPr>
          <w:rFonts w:ascii="Times New Roman" w:eastAsia="仿宋" w:hAnsi="仿宋" w:cs="Times New Roman"/>
          <w:sz w:val="32"/>
          <w:szCs w:val="32"/>
        </w:rPr>
        <w:t>万元，占注册资本的</w:t>
      </w:r>
      <w:r w:rsidRPr="006476C2">
        <w:rPr>
          <w:rFonts w:ascii="Times New Roman" w:eastAsia="仿宋" w:hAnsi="Times New Roman" w:cs="Times New Roman"/>
          <w:sz w:val="32"/>
          <w:szCs w:val="32"/>
        </w:rPr>
        <w:t>70%</w:t>
      </w:r>
      <w:r w:rsidRPr="006476C2">
        <w:rPr>
          <w:rFonts w:ascii="Times New Roman" w:eastAsia="仿宋" w:hAnsi="仿宋" w:cs="Times New Roman"/>
          <w:sz w:val="32"/>
          <w:szCs w:val="32"/>
        </w:rPr>
        <w:t>；黄某出资人民币</w:t>
      </w:r>
      <w:r w:rsidRPr="006476C2">
        <w:rPr>
          <w:rFonts w:ascii="Times New Roman" w:eastAsia="仿宋" w:hAnsi="Times New Roman" w:cs="Times New Roman"/>
          <w:sz w:val="32"/>
          <w:szCs w:val="32"/>
        </w:rPr>
        <w:t>2 000</w:t>
      </w:r>
      <w:r w:rsidRPr="006476C2">
        <w:rPr>
          <w:rFonts w:ascii="Times New Roman" w:eastAsia="仿宋" w:hAnsi="仿宋" w:cs="Times New Roman"/>
          <w:sz w:val="32"/>
          <w:szCs w:val="32"/>
        </w:rPr>
        <w:t>万元，占注册资本的</w:t>
      </w:r>
      <w:r w:rsidRPr="006476C2">
        <w:rPr>
          <w:rFonts w:ascii="Times New Roman" w:eastAsia="仿宋" w:hAnsi="Times New Roman" w:cs="Times New Roman"/>
          <w:sz w:val="32"/>
          <w:szCs w:val="32"/>
        </w:rPr>
        <w:t>20%</w:t>
      </w:r>
      <w:r w:rsidRPr="006476C2">
        <w:rPr>
          <w:rFonts w:ascii="Times New Roman" w:eastAsia="仿宋" w:hAnsi="仿宋" w:cs="Times New Roman"/>
          <w:sz w:val="32"/>
          <w:szCs w:val="32"/>
        </w:rPr>
        <w:t>；</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公司出资人民币</w:t>
      </w:r>
      <w:r w:rsidRPr="006476C2">
        <w:rPr>
          <w:rFonts w:ascii="Times New Roman" w:eastAsia="仿宋" w:hAnsi="Times New Roman" w:cs="Times New Roman"/>
          <w:sz w:val="32"/>
          <w:szCs w:val="32"/>
        </w:rPr>
        <w:t>1 000</w:t>
      </w:r>
      <w:r w:rsidRPr="006476C2">
        <w:rPr>
          <w:rFonts w:ascii="Times New Roman" w:eastAsia="仿宋" w:hAnsi="仿宋" w:cs="Times New Roman"/>
          <w:sz w:val="32"/>
          <w:szCs w:val="32"/>
        </w:rPr>
        <w:t>万元，占注册资本的</w:t>
      </w:r>
      <w:r w:rsidRPr="006476C2">
        <w:rPr>
          <w:rFonts w:ascii="Times New Roman" w:eastAsia="仿宋" w:hAnsi="Times New Roman" w:cs="Times New Roman"/>
          <w:sz w:val="32"/>
          <w:szCs w:val="32"/>
        </w:rPr>
        <w:t>10%</w:t>
      </w:r>
      <w:r w:rsidRPr="006476C2">
        <w:rPr>
          <w:rFonts w:ascii="Times New Roman" w:eastAsia="仿宋" w:hAnsi="仿宋" w:cs="Times New Roman"/>
          <w:sz w:val="32"/>
          <w:szCs w:val="32"/>
        </w:rPr>
        <w:t>。公司住所地是北京市</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南邵镇</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鸣花园会所２层，法定代表人为王</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3</w:t>
      </w:r>
      <w:r w:rsidRPr="006476C2">
        <w:rPr>
          <w:rFonts w:ascii="Times New Roman" w:eastAsia="仿宋" w:hAnsi="仿宋" w:cs="Times New Roman"/>
          <w:sz w:val="32"/>
          <w:szCs w:val="32"/>
        </w:rPr>
        <w:t>月，兴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与其股东</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公司签署协议，共同开发位于北京市</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南邵乡东部的</w:t>
      </w:r>
      <w:r w:rsidRPr="006476C2">
        <w:rPr>
          <w:rFonts w:ascii="Times New Roman" w:eastAsia="仿宋" w:hAnsi="Times New Roman" w:cs="Times New Roman"/>
          <w:sz w:val="32"/>
          <w:szCs w:val="32"/>
        </w:rPr>
        <w:t>500</w:t>
      </w:r>
      <w:r w:rsidRPr="006476C2">
        <w:rPr>
          <w:rFonts w:ascii="Times New Roman" w:eastAsia="仿宋" w:hAnsi="仿宋" w:cs="Times New Roman"/>
          <w:sz w:val="32"/>
          <w:szCs w:val="32"/>
        </w:rPr>
        <w:t>亩土地，作为</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鸣花园项目用地。</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公司负责该土地的一级开发、办理征地手续，并负责办理和提供该土地具备开工条件和房屋预售条件的一切合法手续和证件原件；兴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负责提供</w:t>
      </w:r>
      <w:r w:rsidRPr="006476C2">
        <w:rPr>
          <w:rFonts w:ascii="Times New Roman" w:eastAsia="仿宋" w:hAnsi="Times New Roman" w:cs="Times New Roman"/>
          <w:sz w:val="32"/>
          <w:szCs w:val="32"/>
        </w:rPr>
        <w:t>8 000</w:t>
      </w:r>
      <w:r w:rsidRPr="006476C2">
        <w:rPr>
          <w:rFonts w:ascii="Times New Roman" w:eastAsia="仿宋" w:hAnsi="仿宋" w:cs="Times New Roman"/>
          <w:sz w:val="32"/>
          <w:szCs w:val="32"/>
        </w:rPr>
        <w:t>万元的拆迁补偿款，并承担销售和过户费用；</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公司不参与项目的利润分配。</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2002</w:t>
      </w:r>
      <w:r w:rsidRPr="006476C2">
        <w:rPr>
          <w:rFonts w:ascii="Times New Roman" w:eastAsia="仿宋" w:hAnsi="仿宋" w:cs="Times New Roman"/>
          <w:sz w:val="32"/>
          <w:szCs w:val="32"/>
        </w:rPr>
        <w:t>年，兴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开始开发建设</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鸣花园项目位于北京市</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南邵镇东，其四至为：东至高压线走廊、南至昌怀公路、西至南邵镇还建房小区、北至九</w:t>
      </w:r>
      <w:r w:rsidRPr="006476C2">
        <w:rPr>
          <w:rFonts w:ascii="Times New Roman" w:eastAsia="仿宋" w:hAnsi="仿宋" w:cs="Times New Roman"/>
          <w:sz w:val="32"/>
          <w:szCs w:val="32"/>
        </w:rPr>
        <w:lastRenderedPageBreak/>
        <w:t>里山脊线。占地</w:t>
      </w:r>
      <w:r w:rsidRPr="006476C2">
        <w:rPr>
          <w:rFonts w:ascii="Times New Roman" w:eastAsia="仿宋" w:hAnsi="Times New Roman" w:cs="Times New Roman"/>
          <w:sz w:val="32"/>
          <w:szCs w:val="32"/>
        </w:rPr>
        <w:t>458</w:t>
      </w:r>
      <w:r w:rsidRPr="006476C2">
        <w:rPr>
          <w:rFonts w:ascii="Times New Roman" w:eastAsia="仿宋" w:hAnsi="仿宋" w:cs="Times New Roman"/>
          <w:sz w:val="32"/>
          <w:szCs w:val="32"/>
        </w:rPr>
        <w:t>亩。</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该项目规划总建筑面积</w:t>
      </w:r>
      <w:r w:rsidRPr="006476C2">
        <w:rPr>
          <w:rFonts w:ascii="Times New Roman" w:eastAsia="仿宋" w:hAnsi="Times New Roman" w:cs="Times New Roman"/>
          <w:sz w:val="32"/>
          <w:szCs w:val="32"/>
        </w:rPr>
        <w:t>216 898</w:t>
      </w:r>
      <w:r w:rsidRPr="006476C2">
        <w:rPr>
          <w:rFonts w:ascii="Times New Roman" w:eastAsia="仿宋" w:hAnsi="仿宋" w:cs="Times New Roman"/>
          <w:sz w:val="32"/>
          <w:szCs w:val="32"/>
        </w:rPr>
        <w:t>平方米，实施统一规划，分期开发。该项目总建设用地</w:t>
      </w:r>
      <w:r w:rsidRPr="006476C2">
        <w:rPr>
          <w:rFonts w:ascii="Times New Roman" w:eastAsia="仿宋" w:hAnsi="Times New Roman" w:cs="Times New Roman"/>
          <w:sz w:val="32"/>
          <w:szCs w:val="32"/>
        </w:rPr>
        <w:t>305 300</w:t>
      </w:r>
      <w:r w:rsidRPr="006476C2">
        <w:rPr>
          <w:rFonts w:ascii="Times New Roman" w:eastAsia="仿宋" w:hAnsi="仿宋" w:cs="Times New Roman"/>
          <w:sz w:val="32"/>
          <w:szCs w:val="32"/>
        </w:rPr>
        <w:t>平方米，已取得规划证、开工证面积</w:t>
      </w:r>
      <w:r w:rsidRPr="006476C2">
        <w:rPr>
          <w:rFonts w:ascii="Times New Roman" w:eastAsia="仿宋" w:hAnsi="Times New Roman" w:cs="Times New Roman"/>
          <w:sz w:val="32"/>
          <w:szCs w:val="32"/>
        </w:rPr>
        <w:t>80 014</w:t>
      </w:r>
      <w:r w:rsidRPr="006476C2">
        <w:rPr>
          <w:rFonts w:ascii="Times New Roman" w:eastAsia="仿宋" w:hAnsi="仿宋" w:cs="Times New Roman"/>
          <w:sz w:val="32"/>
          <w:szCs w:val="32"/>
        </w:rPr>
        <w:t>平方米，现场已开工</w:t>
      </w:r>
      <w:proofErr w:type="gramStart"/>
      <w:r w:rsidRPr="006476C2">
        <w:rPr>
          <w:rFonts w:ascii="Times New Roman" w:eastAsia="仿宋" w:hAnsi="仿宋" w:cs="Times New Roman"/>
          <w:sz w:val="32"/>
          <w:szCs w:val="32"/>
        </w:rPr>
        <w:t>建设约</w:t>
      </w:r>
      <w:proofErr w:type="gramEnd"/>
      <w:r w:rsidRPr="006476C2">
        <w:rPr>
          <w:rFonts w:ascii="Times New Roman" w:eastAsia="仿宋" w:hAnsi="Times New Roman" w:cs="Times New Roman"/>
          <w:sz w:val="32"/>
          <w:szCs w:val="32"/>
        </w:rPr>
        <w:t xml:space="preserve">70 000 </w:t>
      </w:r>
      <w:r w:rsidRPr="006476C2">
        <w:rPr>
          <w:rFonts w:ascii="Times New Roman" w:eastAsia="仿宋" w:hAnsi="仿宋" w:cs="Times New Roman"/>
          <w:sz w:val="32"/>
          <w:szCs w:val="32"/>
        </w:rPr>
        <w:t>平方米，其中一期建筑面积</w:t>
      </w:r>
      <w:r w:rsidRPr="006476C2">
        <w:rPr>
          <w:rFonts w:ascii="Times New Roman" w:eastAsia="仿宋" w:hAnsi="Times New Roman" w:cs="Times New Roman"/>
          <w:sz w:val="32"/>
          <w:szCs w:val="32"/>
        </w:rPr>
        <w:t>74 866</w:t>
      </w:r>
      <w:r w:rsidRPr="006476C2">
        <w:rPr>
          <w:rFonts w:ascii="Times New Roman" w:eastAsia="仿宋" w:hAnsi="仿宋" w:cs="Times New Roman"/>
          <w:sz w:val="32"/>
          <w:szCs w:val="32"/>
        </w:rPr>
        <w:t>平方米，二期建筑面积</w:t>
      </w:r>
      <w:r w:rsidRPr="006476C2">
        <w:rPr>
          <w:rFonts w:ascii="Times New Roman" w:eastAsia="仿宋" w:hAnsi="Times New Roman" w:cs="Times New Roman"/>
          <w:sz w:val="32"/>
          <w:szCs w:val="32"/>
        </w:rPr>
        <w:t>153 798</w:t>
      </w:r>
      <w:r w:rsidRPr="006476C2">
        <w:rPr>
          <w:rFonts w:ascii="Times New Roman" w:eastAsia="仿宋" w:hAnsi="仿宋" w:cs="Times New Roman"/>
          <w:sz w:val="32"/>
          <w:szCs w:val="32"/>
        </w:rPr>
        <w:t>平方米；建设内容为住宅及配套设施，其中公寓约</w:t>
      </w:r>
      <w:r w:rsidRPr="006476C2">
        <w:rPr>
          <w:rFonts w:ascii="Times New Roman" w:eastAsia="仿宋" w:hAnsi="Times New Roman" w:cs="Times New Roman"/>
          <w:sz w:val="32"/>
          <w:szCs w:val="32"/>
        </w:rPr>
        <w:t>50 000</w:t>
      </w:r>
      <w:r w:rsidRPr="006476C2">
        <w:rPr>
          <w:rFonts w:ascii="Times New Roman" w:eastAsia="仿宋" w:hAnsi="仿宋" w:cs="Times New Roman"/>
          <w:sz w:val="32"/>
          <w:szCs w:val="32"/>
        </w:rPr>
        <w:t>平方米，联排别墅</w:t>
      </w:r>
      <w:r w:rsidRPr="006476C2">
        <w:rPr>
          <w:rFonts w:ascii="Times New Roman" w:eastAsia="仿宋" w:hAnsi="Times New Roman" w:cs="Times New Roman"/>
          <w:sz w:val="32"/>
          <w:szCs w:val="32"/>
        </w:rPr>
        <w:t>140 000</w:t>
      </w:r>
      <w:r w:rsidRPr="006476C2">
        <w:rPr>
          <w:rFonts w:ascii="Times New Roman" w:eastAsia="仿宋" w:hAnsi="仿宋" w:cs="Times New Roman"/>
          <w:sz w:val="32"/>
          <w:szCs w:val="32"/>
        </w:rPr>
        <w:t>平方米，独立别墅</w:t>
      </w:r>
      <w:r w:rsidRPr="006476C2">
        <w:rPr>
          <w:rFonts w:ascii="Times New Roman" w:eastAsia="仿宋" w:hAnsi="Times New Roman" w:cs="Times New Roman"/>
          <w:sz w:val="32"/>
          <w:szCs w:val="32"/>
        </w:rPr>
        <w:t>12 000</w:t>
      </w:r>
      <w:r w:rsidRPr="006476C2">
        <w:rPr>
          <w:rFonts w:ascii="Times New Roman" w:eastAsia="仿宋" w:hAnsi="仿宋" w:cs="Times New Roman"/>
          <w:sz w:val="32"/>
          <w:szCs w:val="32"/>
        </w:rPr>
        <w:t>平方米，配套公建约</w:t>
      </w:r>
      <w:r w:rsidRPr="006476C2">
        <w:rPr>
          <w:rFonts w:ascii="Times New Roman" w:eastAsia="仿宋" w:hAnsi="Times New Roman" w:cs="Times New Roman"/>
          <w:sz w:val="32"/>
          <w:szCs w:val="32"/>
        </w:rPr>
        <w:t>8 000</w:t>
      </w:r>
      <w:r w:rsidRPr="006476C2">
        <w:rPr>
          <w:rFonts w:ascii="Times New Roman" w:eastAsia="仿宋" w:hAnsi="仿宋" w:cs="Times New Roman"/>
          <w:sz w:val="32"/>
          <w:szCs w:val="32"/>
        </w:rPr>
        <w:t>平方米；规划总人口数约为</w:t>
      </w:r>
      <w:r w:rsidRPr="006476C2">
        <w:rPr>
          <w:rFonts w:ascii="Times New Roman" w:eastAsia="仿宋" w:hAnsi="Times New Roman" w:cs="Times New Roman"/>
          <w:sz w:val="32"/>
          <w:szCs w:val="32"/>
        </w:rPr>
        <w:t>3 400</w:t>
      </w:r>
      <w:r w:rsidRPr="006476C2">
        <w:rPr>
          <w:rFonts w:ascii="Times New Roman" w:eastAsia="仿宋" w:hAnsi="仿宋" w:cs="Times New Roman"/>
          <w:sz w:val="32"/>
          <w:szCs w:val="32"/>
        </w:rPr>
        <w:t>人，总户数</w:t>
      </w:r>
      <w:r w:rsidRPr="006476C2">
        <w:rPr>
          <w:rFonts w:ascii="Times New Roman" w:eastAsia="仿宋" w:hAnsi="Times New Roman" w:cs="Times New Roman"/>
          <w:sz w:val="32"/>
          <w:szCs w:val="32"/>
        </w:rPr>
        <w:t>1 052</w:t>
      </w:r>
      <w:r w:rsidRPr="006476C2">
        <w:rPr>
          <w:rFonts w:ascii="Times New Roman" w:eastAsia="仿宋" w:hAnsi="仿宋" w:cs="Times New Roman"/>
          <w:sz w:val="32"/>
          <w:szCs w:val="32"/>
        </w:rPr>
        <w:t>户。</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与</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签订开发协议后，在项目用地的拆迁没有完成、土地的各项手续不齐备、不具备开工条件的情况下，在当地村集体工厂的土地上强行开工建设，之后又在未取得预售许可手续的情况下，开始房屋销售，并在很短时间内就销售了上千套房屋。</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鸣花园项目原计划于</w:t>
      </w:r>
      <w:r w:rsidRPr="006476C2">
        <w:rPr>
          <w:rFonts w:ascii="Times New Roman" w:eastAsia="仿宋" w:hAnsi="Times New Roman" w:cs="Times New Roman"/>
          <w:sz w:val="32"/>
          <w:szCs w:val="32"/>
        </w:rPr>
        <w:t>2003</w:t>
      </w:r>
      <w:r w:rsidRPr="006476C2">
        <w:rPr>
          <w:rFonts w:ascii="Times New Roman" w:eastAsia="仿宋" w:hAnsi="仿宋" w:cs="Times New Roman"/>
          <w:sz w:val="32"/>
          <w:szCs w:val="32"/>
        </w:rPr>
        <w:t>年完工并完成入住。但该块土地的相关手续一直没有办妥，拆迁工作无法进行，直到</w:t>
      </w:r>
      <w:r w:rsidRPr="006476C2">
        <w:rPr>
          <w:rFonts w:ascii="Times New Roman" w:eastAsia="仿宋" w:hAnsi="Times New Roman" w:cs="Times New Roman"/>
          <w:sz w:val="32"/>
          <w:szCs w:val="32"/>
        </w:rPr>
        <w:t>2004</w:t>
      </w:r>
      <w:r w:rsidRPr="006476C2">
        <w:rPr>
          <w:rFonts w:ascii="Times New Roman" w:eastAsia="仿宋" w:hAnsi="仿宋" w:cs="Times New Roman"/>
          <w:sz w:val="32"/>
          <w:szCs w:val="32"/>
        </w:rPr>
        <w:t>年，项目用地才完成征收手续，但此时的拆迁费用已经比</w:t>
      </w: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年签订合同时提高了</w:t>
      </w:r>
      <w:r w:rsidRPr="006476C2">
        <w:rPr>
          <w:rFonts w:ascii="Times New Roman" w:eastAsia="仿宋" w:hAnsi="Times New Roman" w:cs="Times New Roman"/>
          <w:sz w:val="32"/>
          <w:szCs w:val="32"/>
        </w:rPr>
        <w:t>3.4</w:t>
      </w:r>
      <w:r w:rsidRPr="006476C2">
        <w:rPr>
          <w:rFonts w:ascii="Times New Roman" w:eastAsia="仿宋" w:hAnsi="仿宋" w:cs="Times New Roman"/>
          <w:sz w:val="32"/>
          <w:szCs w:val="32"/>
        </w:rPr>
        <w:t>亿元。</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为解决兴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的资金困难，加快</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鸣花园项目的建设，</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公司通过提供借款、垫付土地征用补偿款、代退房款等方式为兴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提供资金累计约</w:t>
      </w:r>
      <w:r w:rsidRPr="006476C2">
        <w:rPr>
          <w:rFonts w:ascii="Times New Roman" w:eastAsia="仿宋" w:hAnsi="Times New Roman" w:cs="Times New Roman"/>
          <w:sz w:val="32"/>
          <w:szCs w:val="32"/>
        </w:rPr>
        <w:t xml:space="preserve"> 7 600</w:t>
      </w:r>
      <w:r w:rsidRPr="006476C2">
        <w:rPr>
          <w:rFonts w:ascii="Times New Roman" w:eastAsia="仿宋" w:hAnsi="仿宋" w:cs="Times New Roman"/>
          <w:sz w:val="32"/>
          <w:szCs w:val="32"/>
        </w:rPr>
        <w:t>万元人民币，为此双方签订了一系列的合同、协议，但兴</w:t>
      </w:r>
      <w:proofErr w:type="gramStart"/>
      <w:r w:rsidRPr="006476C2">
        <w:rPr>
          <w:rFonts w:ascii="Times New Roman" w:eastAsia="仿宋" w:hAnsi="仿宋" w:cs="Times New Roman"/>
          <w:sz w:val="32"/>
          <w:szCs w:val="32"/>
        </w:rPr>
        <w:t>昌达博</w:t>
      </w:r>
      <w:r w:rsidRPr="006476C2">
        <w:rPr>
          <w:rFonts w:ascii="Times New Roman" w:eastAsia="仿宋" w:hAnsi="仿宋" w:cs="Times New Roman"/>
          <w:sz w:val="32"/>
          <w:szCs w:val="32"/>
        </w:rPr>
        <w:lastRenderedPageBreak/>
        <w:t>公司</w:t>
      </w:r>
      <w:proofErr w:type="gramEnd"/>
      <w:r w:rsidRPr="006476C2">
        <w:rPr>
          <w:rFonts w:ascii="Times New Roman" w:eastAsia="仿宋" w:hAnsi="仿宋" w:cs="Times New Roman"/>
          <w:sz w:val="32"/>
          <w:szCs w:val="32"/>
        </w:rPr>
        <w:t>均未能依约按时返还所欠款项。虽然兴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在</w:t>
      </w: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年收到了数亿元的认购房款，但因其将资金大量挪作他用，到了</w:t>
      </w:r>
      <w:r w:rsidRPr="006476C2">
        <w:rPr>
          <w:rFonts w:ascii="Times New Roman" w:eastAsia="仿宋" w:hAnsi="Times New Roman" w:cs="Times New Roman"/>
          <w:sz w:val="32"/>
          <w:szCs w:val="32"/>
        </w:rPr>
        <w:t>2004</w:t>
      </w:r>
      <w:r w:rsidRPr="006476C2">
        <w:rPr>
          <w:rFonts w:ascii="Times New Roman" w:eastAsia="仿宋" w:hAnsi="仿宋" w:cs="Times New Roman"/>
          <w:sz w:val="32"/>
          <w:szCs w:val="32"/>
        </w:rPr>
        <w:t>年</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鸣花园项目可以进行拆迁开发时，兴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已无力支付拆迁费用。由于资金链断裂，导致</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鸣花园项目被迫搁置，长时间处于停工状态。为此，大量业主开始要求退房，其中虽有几百户业主先后拿回了购房款，但仍有</w:t>
      </w:r>
      <w:r w:rsidRPr="006476C2">
        <w:rPr>
          <w:rFonts w:ascii="Times New Roman" w:eastAsia="仿宋" w:hAnsi="Times New Roman" w:cs="Times New Roman"/>
          <w:sz w:val="32"/>
          <w:szCs w:val="32"/>
        </w:rPr>
        <w:t>300</w:t>
      </w:r>
      <w:r w:rsidRPr="006476C2">
        <w:rPr>
          <w:rFonts w:ascii="Times New Roman" w:eastAsia="仿宋" w:hAnsi="仿宋" w:cs="Times New Roman"/>
          <w:sz w:val="32"/>
          <w:szCs w:val="32"/>
        </w:rPr>
        <w:t>余户业主无法取回退房款。于是，一些业主开始通过诉讼或其他手段进行维权，自此业主与兴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进行了长达将近</w:t>
      </w:r>
      <w:r w:rsidRPr="006476C2">
        <w:rPr>
          <w:rFonts w:ascii="Times New Roman" w:eastAsia="仿宋" w:hAnsi="Times New Roman" w:cs="Times New Roman"/>
          <w:sz w:val="32"/>
          <w:szCs w:val="32"/>
        </w:rPr>
        <w:t>6</w:t>
      </w:r>
      <w:r w:rsidRPr="006476C2">
        <w:rPr>
          <w:rFonts w:ascii="Times New Roman" w:eastAsia="仿宋" w:hAnsi="仿宋" w:cs="Times New Roman"/>
          <w:sz w:val="32"/>
          <w:szCs w:val="32"/>
        </w:rPr>
        <w:t>年的交涉，但一直未能取得实质性进展。</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自</w:t>
      </w:r>
      <w:r w:rsidRPr="006476C2">
        <w:rPr>
          <w:rFonts w:ascii="Times New Roman" w:eastAsia="仿宋" w:hAnsi="Times New Roman" w:cs="Times New Roman"/>
          <w:sz w:val="32"/>
          <w:szCs w:val="32"/>
        </w:rPr>
        <w:t>2003</w:t>
      </w:r>
      <w:r w:rsidRPr="006476C2">
        <w:rPr>
          <w:rFonts w:ascii="Times New Roman" w:eastAsia="仿宋" w:hAnsi="仿宋" w:cs="Times New Roman"/>
          <w:sz w:val="32"/>
          <w:szCs w:val="32"/>
        </w:rPr>
        <w:t>年起，</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鸣花园项目的</w:t>
      </w:r>
      <w:r w:rsidRPr="006476C2">
        <w:rPr>
          <w:rFonts w:ascii="Times New Roman" w:eastAsia="仿宋" w:hAnsi="Times New Roman" w:cs="Times New Roman"/>
          <w:sz w:val="32"/>
          <w:szCs w:val="32"/>
        </w:rPr>
        <w:t>60</w:t>
      </w:r>
      <w:r w:rsidRPr="006476C2">
        <w:rPr>
          <w:rFonts w:ascii="Times New Roman" w:eastAsia="仿宋" w:hAnsi="仿宋" w:cs="Times New Roman"/>
          <w:sz w:val="32"/>
          <w:szCs w:val="32"/>
        </w:rPr>
        <w:t>余名业主以兴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为被告向</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人民法院提起诉讼，要求兴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交房或解约返还房款，涉诉标的总额达</w:t>
      </w:r>
      <w:r w:rsidRPr="006476C2">
        <w:rPr>
          <w:rFonts w:ascii="Times New Roman" w:eastAsia="仿宋" w:hAnsi="Times New Roman" w:cs="Times New Roman"/>
          <w:sz w:val="32"/>
          <w:szCs w:val="32"/>
        </w:rPr>
        <w:t xml:space="preserve"> 1 100</w:t>
      </w:r>
      <w:r w:rsidRPr="006476C2">
        <w:rPr>
          <w:rFonts w:ascii="Times New Roman" w:eastAsia="仿宋" w:hAnsi="仿宋" w:cs="Times New Roman"/>
          <w:sz w:val="32"/>
          <w:szCs w:val="32"/>
        </w:rPr>
        <w:t>万元。</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人民法院判决兴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或交房或退款，但因该公司既无房可交又无钱可退，结果都没有能够执行。问题迟迟不能得到解决，业主们彻底丧失了对兴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的信任。</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争议焦点</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为了彻底解决</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鸣花园项目遗留的历史问题，全面保护债权人的利益，维护社会的稳定，市、区两级党委和政府部门</w:t>
      </w:r>
      <w:proofErr w:type="gramStart"/>
      <w:r w:rsidRPr="006476C2">
        <w:rPr>
          <w:rFonts w:ascii="Times New Roman" w:eastAsia="仿宋" w:hAnsi="仿宋" w:cs="Times New Roman"/>
          <w:sz w:val="32"/>
          <w:szCs w:val="32"/>
        </w:rPr>
        <w:t>鉴于兴昌达博</w:t>
      </w:r>
      <w:proofErr w:type="gramEnd"/>
      <w:r w:rsidRPr="006476C2">
        <w:rPr>
          <w:rFonts w:ascii="Times New Roman" w:eastAsia="仿宋" w:hAnsi="仿宋" w:cs="Times New Roman"/>
          <w:sz w:val="32"/>
          <w:szCs w:val="32"/>
        </w:rPr>
        <w:t>公司现有资产难以清偿到期债务，严重缺乏清偿能力，决定同</w:t>
      </w:r>
      <w:proofErr w:type="gramStart"/>
      <w:r w:rsidRPr="006476C2">
        <w:rPr>
          <w:rFonts w:ascii="Times New Roman" w:eastAsia="仿宋" w:hAnsi="仿宋" w:cs="Times New Roman"/>
          <w:sz w:val="32"/>
          <w:szCs w:val="32"/>
        </w:rPr>
        <w:t>意兴昌高科</w:t>
      </w:r>
      <w:proofErr w:type="gramEnd"/>
      <w:r w:rsidRPr="006476C2">
        <w:rPr>
          <w:rFonts w:ascii="Times New Roman" w:eastAsia="仿宋" w:hAnsi="仿宋" w:cs="Times New Roman"/>
          <w:sz w:val="32"/>
          <w:szCs w:val="32"/>
        </w:rPr>
        <w:t>公司提出的促使兴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进入破产程序的设想。既是债权人又是股东的</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公司，特委托公元律师事务所对是由债权人申请破产还是由债务人</w:t>
      </w:r>
      <w:r w:rsidRPr="006476C2">
        <w:rPr>
          <w:rFonts w:ascii="Times New Roman" w:eastAsia="仿宋" w:hAnsi="仿宋" w:cs="Times New Roman"/>
          <w:sz w:val="32"/>
          <w:szCs w:val="32"/>
        </w:rPr>
        <w:lastRenderedPageBreak/>
        <w:t>申请破产两个方案的利弊进行了专门的法律分析。</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律师代理思路</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《企业破产法》第</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条规定：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企业法人不能清偿到期债务，并且资产不足以清偿全部债务或者明显缺乏清偿能力的，依照本法规定清理债务。企业法人有前款规定情形，或者有明显丧失清偿能力可能的，可以依照本法规定进行重整。</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第</w:t>
      </w:r>
      <w:r w:rsidRPr="006476C2">
        <w:rPr>
          <w:rFonts w:ascii="Times New Roman" w:eastAsia="仿宋" w:hAnsi="Times New Roman" w:cs="Times New Roman"/>
          <w:sz w:val="32"/>
          <w:szCs w:val="32"/>
        </w:rPr>
        <w:t>7</w:t>
      </w:r>
      <w:r w:rsidRPr="006476C2">
        <w:rPr>
          <w:rFonts w:ascii="Times New Roman" w:eastAsia="仿宋" w:hAnsi="仿宋" w:cs="Times New Roman"/>
          <w:sz w:val="32"/>
          <w:szCs w:val="32"/>
        </w:rPr>
        <w:t>条规定：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债务人有本法第二条规定的情形，可以向人民法院提出重整、和解或者破产清算申请。债务人不能清偿到期债务，债权人可以向人民法院提出对债务人进行重整或者破产清算的申请。企业法人已解散但未清算或者未清算完毕，资产不足以清偿债务的，依法负有清算责任的人应当向人民法院申请破产清算。</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据此，在符合法律规定条件的情况下，债务人和债权人均可向人民法院提出破产申请。</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根据上述法律规定，结合本案的情况和委托人的要求，如果申请兴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破产，有两种方案可供选择：一是由</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公司以债权人身份申请兴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破产</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二是由债务人兴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自行申请破产。在本案中，兴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现有资产难以清偿到期债务，严重缺乏清偿能力，作为股东的</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公司也是兴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的债权人，其有权向法院申请兴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破产</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而兴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经营出现严重困难，加之不能清偿到期债务，也可通过自行申请进入破产程序。鉴于本案的特殊情况及重大的社会影响，在综合考虑法</w:t>
      </w:r>
      <w:r w:rsidRPr="006476C2">
        <w:rPr>
          <w:rFonts w:ascii="Times New Roman" w:eastAsia="仿宋" w:hAnsi="仿宋" w:cs="Times New Roman"/>
          <w:sz w:val="32"/>
          <w:szCs w:val="32"/>
        </w:rPr>
        <w:lastRenderedPageBreak/>
        <w:t>院受理条件、材料准备、前期工作量、社会稳定等情况下，为顺利启动破产程序，就债权人</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公司和债务人兴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分别提出破产申请的利弊、破产申请前期准备工作的内容及破产申请受理后可能出现的后果等情况进行了详细的法律分析。</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一、由债权人</w:t>
      </w:r>
      <w:proofErr w:type="gramStart"/>
      <w:r w:rsidRPr="006476C2">
        <w:rPr>
          <w:rFonts w:ascii="Times New Roman" w:eastAsia="黑体" w:hAnsi="黑体" w:cs="Times New Roman"/>
          <w:sz w:val="32"/>
          <w:szCs w:val="32"/>
        </w:rPr>
        <w:t>兴昌高科</w:t>
      </w:r>
      <w:proofErr w:type="gramEnd"/>
      <w:r w:rsidRPr="006476C2">
        <w:rPr>
          <w:rFonts w:ascii="Times New Roman" w:eastAsia="黑体" w:hAnsi="黑体" w:cs="Times New Roman"/>
          <w:sz w:val="32"/>
          <w:szCs w:val="32"/>
        </w:rPr>
        <w:t>公司申请破产</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根据《企业破产法》第</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条的规定，企业法人破产原因为不能清偿到期债务且资产不足以清偿全部债务或不能清偿到期债务且明显缺乏清偿能力。如债权人</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公司向法院申请破产，为证明兴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Times New Roman" w:cs="Times New Roman"/>
          <w:sz w:val="32"/>
          <w:szCs w:val="32"/>
        </w:rPr>
        <w:t>(</w:t>
      </w:r>
      <w:proofErr w:type="gramStart"/>
      <w:r w:rsidRPr="006476C2">
        <w:rPr>
          <w:rFonts w:ascii="Times New Roman" w:eastAsia="楷体" w:hAnsi="楷体" w:cs="Times New Roman"/>
          <w:sz w:val="32"/>
          <w:szCs w:val="32"/>
        </w:rPr>
        <w:t>一</w:t>
      </w:r>
      <w:proofErr w:type="gramEnd"/>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债权人提交的证据与法院受理破产案件的条件存在</w:t>
      </w:r>
      <w:r w:rsidRPr="006476C2">
        <w:rPr>
          <w:rFonts w:ascii="Times New Roman" w:eastAsia="楷体" w:hAnsi="楷体" w:cs="Times New Roman"/>
          <w:sz w:val="32"/>
          <w:szCs w:val="32"/>
        </w:rPr>
        <w:lastRenderedPageBreak/>
        <w:t>较大差距，人民法院不予受理；</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二</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法院接受债权人的破产申请后，债务人提出异议，法院经审查认为债务人缺乏清偿能力情况不明显，不予受理破产申请；</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三</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人民法院认为符合破产申请的条件，裁定受理。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本案中，债权人</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公司现有的证据材料均系证明兴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不能清偿到期债务，</w:t>
      </w:r>
      <w:proofErr w:type="gramStart"/>
      <w:r w:rsidRPr="006476C2">
        <w:rPr>
          <w:rFonts w:ascii="Times New Roman" w:eastAsia="仿宋" w:hAnsi="仿宋" w:cs="Times New Roman"/>
          <w:sz w:val="32"/>
          <w:szCs w:val="32"/>
        </w:rPr>
        <w:t>对于兴昌达博</w:t>
      </w:r>
      <w:proofErr w:type="gramEnd"/>
      <w:r w:rsidRPr="006476C2">
        <w:rPr>
          <w:rFonts w:ascii="Times New Roman" w:eastAsia="仿宋" w:hAnsi="仿宋" w:cs="Times New Roman"/>
          <w:sz w:val="32"/>
          <w:szCs w:val="32"/>
        </w:rPr>
        <w:t>公司明显缺乏清偿能力方面，尚无直接证据证明。但</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公司作为兴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的股东，可以查阅兴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的相关财务记录，整理出相应的证据材料。因此，此种申请破产方式较易得到人民法院的认可。另外，</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公司作为国有企业，容易得到其他债权人的信任，树立公众的信心，有利于破产程序的进行。</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二、债务人兴</w:t>
      </w:r>
      <w:proofErr w:type="gramStart"/>
      <w:r w:rsidRPr="006476C2">
        <w:rPr>
          <w:rFonts w:ascii="Times New Roman" w:eastAsia="黑体" w:hAnsi="黑体" w:cs="Times New Roman"/>
          <w:sz w:val="32"/>
          <w:szCs w:val="32"/>
        </w:rPr>
        <w:t>昌达博公司</w:t>
      </w:r>
      <w:proofErr w:type="gramEnd"/>
      <w:r w:rsidRPr="006476C2">
        <w:rPr>
          <w:rFonts w:ascii="Times New Roman" w:eastAsia="黑体" w:hAnsi="黑体" w:cs="Times New Roman"/>
          <w:sz w:val="32"/>
          <w:szCs w:val="32"/>
        </w:rPr>
        <w:t>申请破产</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lastRenderedPageBreak/>
        <w:t>但就本案而言，由于兴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人的合法权益及社会稳定，各方均希望本案的破产准备工作一开始就能在有力的监督下进行。如采取由债务人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直接提出破产申请的方案，可控性、透明度等都会大打折扣。</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在提交对上述两种方案的分析后，笔者与委托人及</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相关部门进行多次磋商和沟通，在经过权衡各方利弊后一致认为，在兴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董事会不能完全配合相关工作的情况下，为了保障广大债权人的合法权益，由</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公司这样的负有社会责任的国有企业，以债权人的身份申请兴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破产，在理清债权债务关系后，再通过重整的方式解决债权人，尤其是广大业主的诉求，是最佳选择。虽然采取此方案会遇到如申报材料收集困难和理清债务时间较短的问题，但若操作得当，公开、透明地对兴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进行破产，亦能得到广大债权人的支持，在解决兴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债务的同时，也可以化解相应的社会矛盾。因此，委托人确定由笔者根据上述第一种方案，开始准备申请兴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破产及后继的相关工作。</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lastRenderedPageBreak/>
        <w:t>【</w:t>
      </w:r>
      <w:r w:rsidRPr="006476C2">
        <w:rPr>
          <w:rFonts w:ascii="Times New Roman" w:eastAsia="仿宋" w:hAnsi="仿宋" w:cs="Times New Roman"/>
          <w:sz w:val="32"/>
          <w:szCs w:val="32"/>
        </w:rPr>
        <w:t>案件结果概述</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5</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日北京市</w:t>
      </w:r>
      <w:proofErr w:type="gramStart"/>
      <w:r w:rsidRPr="006476C2">
        <w:rPr>
          <w:rFonts w:ascii="Times New Roman" w:eastAsia="仿宋" w:hAnsi="仿宋" w:cs="Times New Roman"/>
          <w:sz w:val="32"/>
          <w:szCs w:val="32"/>
        </w:rPr>
        <w:t>昌平区</w:t>
      </w:r>
      <w:proofErr w:type="gramEnd"/>
      <w:r w:rsidRPr="006476C2">
        <w:rPr>
          <w:rFonts w:ascii="Times New Roman" w:eastAsia="仿宋" w:hAnsi="仿宋" w:cs="Times New Roman"/>
          <w:sz w:val="32"/>
          <w:szCs w:val="32"/>
        </w:rPr>
        <w:t>人民法院（</w:t>
      </w:r>
      <w:r w:rsidRPr="006476C2">
        <w:rPr>
          <w:rFonts w:ascii="Times New Roman" w:eastAsia="仿宋" w:hAnsi="Times New Roman" w:cs="Times New Roman"/>
          <w:sz w:val="32"/>
          <w:szCs w:val="32"/>
        </w:rPr>
        <w:t>2007</w:t>
      </w:r>
      <w:r w:rsidRPr="006476C2">
        <w:rPr>
          <w:rFonts w:ascii="Times New Roman" w:eastAsia="仿宋" w:hAnsi="仿宋" w:cs="Times New Roman"/>
          <w:sz w:val="32"/>
          <w:szCs w:val="32"/>
        </w:rPr>
        <w:t>）</w:t>
      </w:r>
      <w:proofErr w:type="gramStart"/>
      <w:r w:rsidRPr="006476C2">
        <w:rPr>
          <w:rFonts w:ascii="Times New Roman" w:eastAsia="仿宋" w:hAnsi="仿宋" w:cs="Times New Roman"/>
          <w:sz w:val="32"/>
          <w:szCs w:val="32"/>
        </w:rPr>
        <w:t>昌民破字</w:t>
      </w:r>
      <w:proofErr w:type="gramEnd"/>
      <w:r w:rsidRPr="006476C2">
        <w:rPr>
          <w:rFonts w:ascii="Times New Roman" w:eastAsia="仿宋" w:hAnsi="仿宋" w:cs="Times New Roman"/>
          <w:sz w:val="32"/>
          <w:szCs w:val="32"/>
        </w:rPr>
        <w:t>第</w:t>
      </w:r>
      <w:r w:rsidRPr="006476C2">
        <w:rPr>
          <w:rFonts w:ascii="Times New Roman" w:eastAsia="仿宋" w:hAnsi="Times New Roman" w:cs="Times New Roman"/>
          <w:sz w:val="32"/>
          <w:szCs w:val="32"/>
        </w:rPr>
        <w:t>10949</w:t>
      </w:r>
      <w:r w:rsidRPr="006476C2">
        <w:rPr>
          <w:rFonts w:ascii="Times New Roman" w:eastAsia="仿宋" w:hAnsi="仿宋" w:cs="Times New Roman"/>
          <w:sz w:val="32"/>
          <w:szCs w:val="32"/>
        </w:rPr>
        <w:t>号民事裁定书裁定如下：</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w:t>
      </w:r>
      <w:proofErr w:type="gramStart"/>
      <w:r w:rsidRPr="006476C2">
        <w:rPr>
          <w:rFonts w:ascii="Times New Roman" w:eastAsia="仿宋" w:hAnsi="仿宋" w:cs="Times New Roman"/>
          <w:sz w:val="32"/>
          <w:szCs w:val="32"/>
        </w:rPr>
        <w:t>一</w:t>
      </w:r>
      <w:proofErr w:type="gramEnd"/>
      <w:r w:rsidRPr="006476C2">
        <w:rPr>
          <w:rFonts w:ascii="Times New Roman" w:eastAsia="仿宋" w:hAnsi="Times New Roman" w:cs="Times New Roman"/>
          <w:sz w:val="32"/>
          <w:szCs w:val="32"/>
        </w:rPr>
        <w:t xml:space="preserve">) </w:t>
      </w:r>
      <w:r w:rsidRPr="006476C2">
        <w:rPr>
          <w:rFonts w:ascii="Times New Roman" w:eastAsia="仿宋" w:hAnsi="仿宋" w:cs="Times New Roman"/>
          <w:sz w:val="32"/>
          <w:szCs w:val="32"/>
        </w:rPr>
        <w:t>确认本院于</w:t>
      </w:r>
      <w:r w:rsidRPr="006476C2">
        <w:rPr>
          <w:rFonts w:ascii="Times New Roman" w:eastAsia="仿宋" w:hAnsi="Times New Roman" w:cs="Times New Roman"/>
          <w:sz w:val="32"/>
          <w:szCs w:val="32"/>
        </w:rPr>
        <w:t>2008</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4</w:t>
      </w:r>
      <w:r w:rsidRPr="006476C2">
        <w:rPr>
          <w:rFonts w:ascii="Times New Roman" w:eastAsia="仿宋" w:hAnsi="仿宋" w:cs="Times New Roman"/>
          <w:sz w:val="32"/>
          <w:szCs w:val="32"/>
        </w:rPr>
        <w:t>日批准的《北京兴昌达博房地产开发有限公司重整计划草案》执行完毕；</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二</w:t>
      </w:r>
      <w:r w:rsidRPr="006476C2">
        <w:rPr>
          <w:rFonts w:ascii="Times New Roman" w:eastAsia="仿宋" w:hAnsi="Times New Roman" w:cs="Times New Roman"/>
          <w:sz w:val="32"/>
          <w:szCs w:val="32"/>
        </w:rPr>
        <w:t xml:space="preserve">) </w:t>
      </w:r>
      <w:r w:rsidRPr="006476C2">
        <w:rPr>
          <w:rFonts w:ascii="Times New Roman" w:eastAsia="仿宋" w:hAnsi="仿宋" w:cs="Times New Roman"/>
          <w:sz w:val="32"/>
          <w:szCs w:val="32"/>
        </w:rPr>
        <w:t>终结北京兴昌达博房地产开发有限公司破产程序。</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相关法律法规解读</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我国《企业破产法》将重整计划草案的制订权赋予了债务人或管理人，债权人、股东、新出资人等利害关系人</w:t>
      </w:r>
      <w:proofErr w:type="gramStart"/>
      <w:r w:rsidRPr="006476C2">
        <w:rPr>
          <w:rFonts w:ascii="Times New Roman" w:eastAsia="仿宋" w:hAnsi="仿宋" w:cs="Times New Roman"/>
          <w:sz w:val="32"/>
          <w:szCs w:val="32"/>
        </w:rPr>
        <w:t>无提出</w:t>
      </w:r>
      <w:proofErr w:type="gramEnd"/>
      <w:r w:rsidRPr="006476C2">
        <w:rPr>
          <w:rFonts w:ascii="Times New Roman" w:eastAsia="仿宋" w:hAnsi="仿宋" w:cs="Times New Roman"/>
          <w:sz w:val="32"/>
          <w:szCs w:val="32"/>
        </w:rPr>
        <w:t>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w:t>
      </w:r>
      <w:proofErr w:type="gramStart"/>
      <w:r w:rsidRPr="006476C2">
        <w:rPr>
          <w:rFonts w:ascii="Times New Roman" w:eastAsia="仿宋" w:hAnsi="仿宋" w:cs="Times New Roman"/>
          <w:sz w:val="32"/>
          <w:szCs w:val="32"/>
        </w:rPr>
        <w:t>人制</w:t>
      </w:r>
      <w:proofErr w:type="gramEnd"/>
      <w:r w:rsidRPr="006476C2">
        <w:rPr>
          <w:rFonts w:ascii="Times New Roman" w:eastAsia="仿宋" w:hAnsi="仿宋" w:cs="Times New Roman"/>
          <w:sz w:val="32"/>
          <w:szCs w:val="32"/>
        </w:rPr>
        <w:t>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w:t>
      </w:r>
      <w:proofErr w:type="gramStart"/>
      <w:r w:rsidRPr="006476C2">
        <w:rPr>
          <w:rFonts w:ascii="Times New Roman" w:eastAsia="仿宋" w:hAnsi="仿宋" w:cs="Times New Roman"/>
          <w:sz w:val="32"/>
          <w:szCs w:val="32"/>
        </w:rPr>
        <w:t>较管理</w:t>
      </w:r>
      <w:proofErr w:type="gramEnd"/>
      <w:r w:rsidRPr="006476C2">
        <w:rPr>
          <w:rFonts w:ascii="Times New Roman" w:eastAsia="仿宋" w:hAnsi="仿宋" w:cs="Times New Roman"/>
          <w:sz w:val="32"/>
          <w:szCs w:val="32"/>
        </w:rPr>
        <w:t>人、债务人更具有可行性的重整计划草案。</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lastRenderedPageBreak/>
        <w:t>因此，从公平保护相关利害关系人权益及使重整计划草案更具有可执行性的角度出发，笔者认为，我国可以借鉴国外有关做法，允许债权人、股东、新出资人等利害关系</w:t>
      </w:r>
      <w:proofErr w:type="gramStart"/>
      <w:r w:rsidRPr="006476C2">
        <w:rPr>
          <w:rFonts w:ascii="Times New Roman" w:eastAsia="仿宋" w:hAnsi="仿宋" w:cs="Times New Roman"/>
          <w:sz w:val="32"/>
          <w:szCs w:val="32"/>
        </w:rPr>
        <w:t>人制</w:t>
      </w:r>
      <w:proofErr w:type="gramEnd"/>
      <w:r w:rsidRPr="006476C2">
        <w:rPr>
          <w:rFonts w:ascii="Times New Roman" w:eastAsia="仿宋" w:hAnsi="仿宋" w:cs="Times New Roman"/>
          <w:sz w:val="32"/>
          <w:szCs w:val="32"/>
        </w:rPr>
        <w:t>作重整计划草案。但有关利害关系</w:t>
      </w:r>
      <w:proofErr w:type="gramStart"/>
      <w:r w:rsidRPr="006476C2">
        <w:rPr>
          <w:rFonts w:ascii="Times New Roman" w:eastAsia="仿宋" w:hAnsi="仿宋" w:cs="Times New Roman"/>
          <w:sz w:val="32"/>
          <w:szCs w:val="32"/>
        </w:rPr>
        <w:t>人制</w:t>
      </w:r>
      <w:proofErr w:type="gramEnd"/>
      <w:r w:rsidRPr="006476C2">
        <w:rPr>
          <w:rFonts w:ascii="Times New Roman" w:eastAsia="仿宋" w:hAnsi="仿宋" w:cs="Times New Roman"/>
          <w:sz w:val="32"/>
          <w:szCs w:val="32"/>
        </w:rPr>
        <w:t>作的重整计划草案应当提交给债务人或管理人，债务人或管理人认为该重整计划草案具有可行性的，可以提交或修改后提交债权人会议讨论。本案中，在制订重整计划草案的过程中，也给予了兴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出资</w:t>
      </w:r>
      <w:proofErr w:type="gramStart"/>
      <w:r w:rsidRPr="006476C2">
        <w:rPr>
          <w:rFonts w:ascii="Times New Roman" w:eastAsia="仿宋" w:hAnsi="仿宋" w:cs="Times New Roman"/>
          <w:sz w:val="32"/>
          <w:szCs w:val="32"/>
        </w:rPr>
        <w:t>人制</w:t>
      </w:r>
      <w:proofErr w:type="gramEnd"/>
      <w:r w:rsidRPr="006476C2">
        <w:rPr>
          <w:rFonts w:ascii="Times New Roman" w:eastAsia="仿宋" w:hAnsi="仿宋" w:cs="Times New Roman"/>
          <w:sz w:val="32"/>
          <w:szCs w:val="32"/>
        </w:rPr>
        <w:t>作重整计划草案的机会，但因其制作的重整计划草案从整体上看不具有可执行性，最终未能提交债权人会议讨论。但管理人在制作重整计划草案时尽可能地借鉴和吸取了出资</w:t>
      </w:r>
      <w:proofErr w:type="gramStart"/>
      <w:r w:rsidRPr="006476C2">
        <w:rPr>
          <w:rFonts w:ascii="Times New Roman" w:eastAsia="仿宋" w:hAnsi="仿宋" w:cs="Times New Roman"/>
          <w:sz w:val="32"/>
          <w:szCs w:val="32"/>
        </w:rPr>
        <w:t>人制</w:t>
      </w:r>
      <w:proofErr w:type="gramEnd"/>
      <w:r w:rsidRPr="006476C2">
        <w:rPr>
          <w:rFonts w:ascii="Times New Roman" w:eastAsia="仿宋" w:hAnsi="仿宋" w:cs="Times New Roman"/>
          <w:sz w:val="32"/>
          <w:szCs w:val="32"/>
        </w:rPr>
        <w:t>作的重整计划草案中的合理部分，并充分听取了债权人、债务人及债务人股东等相关利害关系人的意见和建议。目前《企业破产法》的两个司法解释尚未对此</w:t>
      </w:r>
      <w:proofErr w:type="gramStart"/>
      <w:r w:rsidRPr="006476C2">
        <w:rPr>
          <w:rFonts w:ascii="Times New Roman" w:eastAsia="仿宋" w:hAnsi="仿宋" w:cs="Times New Roman"/>
          <w:sz w:val="32"/>
          <w:szCs w:val="32"/>
        </w:rPr>
        <w:t>作出</w:t>
      </w:r>
      <w:proofErr w:type="gramEnd"/>
      <w:r w:rsidRPr="006476C2">
        <w:rPr>
          <w:rFonts w:ascii="Times New Roman" w:eastAsia="仿宋" w:hAnsi="仿宋" w:cs="Times New Roman"/>
          <w:sz w:val="32"/>
          <w:szCs w:val="32"/>
        </w:rPr>
        <w:t>规定，北京市高级人民法院《企业破产案件审理规程》规定了债权人、债务人出资人、新出资人等利害关系人均可就重整计划草案向债务人或管理人提出建议。</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案例评析</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自</w:t>
      </w:r>
      <w:r w:rsidRPr="006476C2">
        <w:rPr>
          <w:rFonts w:ascii="Times New Roman" w:eastAsia="仿宋" w:hAnsi="Times New Roman" w:cs="Times New Roman"/>
          <w:sz w:val="32"/>
          <w:szCs w:val="32"/>
        </w:rPr>
        <w:t>2006</w:t>
      </w:r>
      <w:r w:rsidRPr="006476C2">
        <w:rPr>
          <w:rFonts w:ascii="Times New Roman" w:eastAsia="仿宋" w:hAnsi="仿宋" w:cs="Times New Roman"/>
          <w:sz w:val="32"/>
          <w:szCs w:val="32"/>
        </w:rPr>
        <w:t>年起，</w:t>
      </w: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鸣花园的业主开始向北京市和昌平区两级政府求助，并发生了多次群体上访事件。业主们到市政府上访，到区政府静坐，有一次</w:t>
      </w:r>
      <w:proofErr w:type="gramStart"/>
      <w:r w:rsidRPr="006476C2">
        <w:rPr>
          <w:rFonts w:ascii="Times New Roman" w:eastAsia="仿宋" w:hAnsi="仿宋" w:cs="Times New Roman"/>
          <w:sz w:val="32"/>
          <w:szCs w:val="32"/>
        </w:rPr>
        <w:t>竟组织</w:t>
      </w:r>
      <w:proofErr w:type="gramEnd"/>
      <w:r w:rsidRPr="006476C2">
        <w:rPr>
          <w:rFonts w:ascii="Times New Roman" w:eastAsia="仿宋" w:hAnsi="仿宋" w:cs="Times New Roman"/>
          <w:sz w:val="32"/>
          <w:szCs w:val="32"/>
        </w:rPr>
        <w:t>近百辆汽车冲击和围堵区政府大院，汽车的音响里</w:t>
      </w:r>
      <w:proofErr w:type="gramStart"/>
      <w:r w:rsidRPr="006476C2">
        <w:rPr>
          <w:rFonts w:ascii="Times New Roman" w:eastAsia="仿宋" w:hAnsi="仿宋" w:cs="Times New Roman"/>
          <w:sz w:val="32"/>
          <w:szCs w:val="32"/>
        </w:rPr>
        <w:t>一齐高</w:t>
      </w:r>
      <w:proofErr w:type="gramEnd"/>
      <w:r w:rsidRPr="006476C2">
        <w:rPr>
          <w:rFonts w:ascii="Times New Roman" w:eastAsia="仿宋" w:hAnsi="仿宋" w:cs="Times New Roman"/>
          <w:sz w:val="32"/>
          <w:szCs w:val="32"/>
        </w:rPr>
        <w:t>放国际歌，引发大批群众围观，严重影响了区政府的正常办公和周围的交通秩序。此</w:t>
      </w:r>
      <w:r w:rsidRPr="006476C2">
        <w:rPr>
          <w:rFonts w:ascii="Times New Roman" w:eastAsia="仿宋" w:hAnsi="仿宋" w:cs="Times New Roman"/>
          <w:sz w:val="32"/>
          <w:szCs w:val="32"/>
        </w:rPr>
        <w:lastRenderedPageBreak/>
        <w:t>后业主们开始轮流到北京市委、人大、市政府等党政机关聚集、上访，并逐渐形成常态，尤其是在</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两会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期间和重大节日前发展成了固定的群体聚集性事件。这起案件所涉金额之大、债权人人数之多、利益主体冲突之激烈，都让本案成为当时颇具社会影响力的重大群体性事件，</w:t>
      </w:r>
      <w:r w:rsidRPr="006476C2">
        <w:rPr>
          <w:rFonts w:ascii="Times New Roman" w:eastAsia="仿宋" w:hAnsi="Times New Roman" w:cs="Times New Roman"/>
          <w:sz w:val="32"/>
          <w:szCs w:val="32"/>
        </w:rPr>
        <w:t>2007</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2008</w:t>
      </w:r>
      <w:r w:rsidRPr="006476C2">
        <w:rPr>
          <w:rFonts w:ascii="Times New Roman" w:eastAsia="仿宋" w:hAnsi="仿宋" w:cs="Times New Roman"/>
          <w:sz w:val="32"/>
          <w:szCs w:val="32"/>
        </w:rPr>
        <w:t>年两年均被北京市委政法委列为十</w:t>
      </w:r>
      <w:proofErr w:type="gramStart"/>
      <w:r w:rsidRPr="006476C2">
        <w:rPr>
          <w:rFonts w:ascii="Times New Roman" w:eastAsia="仿宋" w:hAnsi="仿宋" w:cs="Times New Roman"/>
          <w:sz w:val="32"/>
          <w:szCs w:val="32"/>
        </w:rPr>
        <w:t>大维稳案件</w:t>
      </w:r>
      <w:proofErr w:type="gramEnd"/>
      <w:r w:rsidRPr="006476C2">
        <w:rPr>
          <w:rFonts w:ascii="Times New Roman" w:eastAsia="仿宋" w:hAnsi="仿宋" w:cs="Times New Roman"/>
          <w:sz w:val="32"/>
          <w:szCs w:val="32"/>
        </w:rPr>
        <w:t>。《新京报》《京华时报》《北京青年报》、人民网、新浪网等国内多家媒体对本案均给予了高度关注，并进行了持续报道。本案立案后，媒体将本案视为《中华人民共和国企业破产法》</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以下简称《企业破产法》</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实施后第一起房地产公司破产案，被称之为</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房企破产第一案</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proofErr w:type="gramStart"/>
      <w:r w:rsidRPr="006476C2">
        <w:rPr>
          <w:rFonts w:ascii="Times New Roman" w:eastAsia="仿宋" w:hAnsi="仿宋" w:cs="Times New Roman"/>
          <w:sz w:val="32"/>
          <w:szCs w:val="32"/>
        </w:rPr>
        <w:t>麓</w:t>
      </w:r>
      <w:proofErr w:type="gramEnd"/>
      <w:r w:rsidRPr="006476C2">
        <w:rPr>
          <w:rFonts w:ascii="Times New Roman" w:eastAsia="仿宋" w:hAnsi="仿宋" w:cs="Times New Roman"/>
          <w:sz w:val="32"/>
          <w:szCs w:val="32"/>
        </w:rPr>
        <w:t>鸣花园项目的历史问题引起了北京市委、市政府以及昌平区委和区政府的高度重视，多次组织政法委、信访办、</w:t>
      </w:r>
      <w:proofErr w:type="gramStart"/>
      <w:r w:rsidRPr="006476C2">
        <w:rPr>
          <w:rFonts w:ascii="Times New Roman" w:eastAsia="仿宋" w:hAnsi="仿宋" w:cs="Times New Roman"/>
          <w:sz w:val="32"/>
          <w:szCs w:val="32"/>
        </w:rPr>
        <w:t>维稳办</w:t>
      </w:r>
      <w:proofErr w:type="gramEnd"/>
      <w:r w:rsidRPr="006476C2">
        <w:rPr>
          <w:rFonts w:ascii="Times New Roman" w:eastAsia="仿宋" w:hAnsi="仿宋" w:cs="Times New Roman"/>
          <w:sz w:val="32"/>
          <w:szCs w:val="32"/>
        </w:rPr>
        <w:t>、建委、科技园区等相关部门，在兴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w:t>
      </w:r>
      <w:proofErr w:type="gramStart"/>
      <w:r w:rsidRPr="006476C2">
        <w:rPr>
          <w:rFonts w:ascii="Times New Roman" w:eastAsia="仿宋" w:hAnsi="仿宋" w:cs="Times New Roman"/>
          <w:sz w:val="32"/>
          <w:szCs w:val="32"/>
        </w:rPr>
        <w:t>兴昌高科</w:t>
      </w:r>
      <w:proofErr w:type="gramEnd"/>
      <w:r w:rsidRPr="006476C2">
        <w:rPr>
          <w:rFonts w:ascii="Times New Roman" w:eastAsia="仿宋" w:hAnsi="仿宋" w:cs="Times New Roman"/>
          <w:sz w:val="32"/>
          <w:szCs w:val="32"/>
        </w:rPr>
        <w:t>公司和业主代表的参与下进行协调。但由于这种行政上的协调，缺乏强有力的法律保障，难以在业主和兴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之间达成共识，加之此时兴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已无力向业主履行交房义务或退还房款，从而使这种协调始终无法取得实质性的效果。与此同时，经过调查发现，兴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负债总额已经远远超过其资产总额，各项财务指标表明，兴</w:t>
      </w:r>
      <w:proofErr w:type="gramStart"/>
      <w:r w:rsidRPr="006476C2">
        <w:rPr>
          <w:rFonts w:ascii="Times New Roman" w:eastAsia="仿宋" w:hAnsi="仿宋" w:cs="Times New Roman"/>
          <w:sz w:val="32"/>
          <w:szCs w:val="32"/>
        </w:rPr>
        <w:t>昌达博公司</w:t>
      </w:r>
      <w:proofErr w:type="gramEnd"/>
      <w:r w:rsidRPr="006476C2">
        <w:rPr>
          <w:rFonts w:ascii="Times New Roman" w:eastAsia="仿宋" w:hAnsi="仿宋" w:cs="Times New Roman"/>
          <w:sz w:val="32"/>
          <w:szCs w:val="32"/>
        </w:rPr>
        <w:t>已经失去了企业自身的造血功能，对债务基本丧失清偿能力。如何合理合法地解决好这一涉及面广、牵扯面大、债</w:t>
      </w:r>
      <w:r w:rsidRPr="006476C2">
        <w:rPr>
          <w:rFonts w:ascii="Times New Roman" w:eastAsia="仿宋" w:hAnsi="仿宋" w:cs="Times New Roman"/>
          <w:sz w:val="32"/>
          <w:szCs w:val="32"/>
        </w:rPr>
        <w:lastRenderedPageBreak/>
        <w:t>权人人数众多、金额巨大、社会影响广泛的案件，已经成为摆在当地政府面前的一道难题。</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律师介入本案后，迅速推动了破产重整的进程，为保护债权人合法权益和维护社会稳定做出了重大的贡献。</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结语与建议</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在本案办理过程中，反映出我国《企业破产法》特别是重整程序中一些不完备之处，需要最高人民法院在制定司法解释过程中逐渐完善。</w:t>
      </w:r>
    </w:p>
    <w:p w:rsidR="00042773" w:rsidRPr="006476C2" w:rsidRDefault="00042773" w:rsidP="006476C2">
      <w:pPr>
        <w:widowControl/>
        <w:spacing w:line="600" w:lineRule="exact"/>
        <w:jc w:val="left"/>
        <w:rPr>
          <w:rFonts w:ascii="Times New Roman" w:eastAsia="仿宋" w:hAnsi="Times New Roman" w:cs="Times New Roman"/>
          <w:sz w:val="32"/>
          <w:szCs w:val="32"/>
        </w:rPr>
      </w:pPr>
      <w:bookmarkStart w:id="1" w:name="_GoBack"/>
      <w:bookmarkEnd w:id="1"/>
    </w:p>
    <w:sectPr w:rsidR="00042773" w:rsidRPr="006476C2" w:rsidSect="00985A45">
      <w:footerReference w:type="default" r:id="rId6"/>
      <w:pgSz w:w="11906" w:h="16838" w:code="9"/>
      <w:pgMar w:top="1418" w:right="1786" w:bottom="1814" w:left="1786" w:header="851"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0C" w:rsidRDefault="00EB650C" w:rsidP="00760856">
      <w:r>
        <w:separator/>
      </w:r>
    </w:p>
  </w:endnote>
  <w:endnote w:type="continuationSeparator" w:id="0">
    <w:p w:rsidR="00EB650C" w:rsidRDefault="00EB650C" w:rsidP="0076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长城小标宋体">
    <w:altName w:val="微软雅黑"/>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5760"/>
      <w:docPartObj>
        <w:docPartGallery w:val="Page Numbers (Bottom of Page)"/>
        <w:docPartUnique/>
      </w:docPartObj>
    </w:sdtPr>
    <w:sdtEndPr>
      <w:rPr>
        <w:rFonts w:ascii="Times New Roman" w:hAnsi="Times New Roman" w:cs="Times New Roman"/>
        <w:sz w:val="24"/>
        <w:szCs w:val="24"/>
      </w:rPr>
    </w:sdtEndPr>
    <w:sdtContent>
      <w:p w:rsidR="006476C2" w:rsidRPr="006476C2" w:rsidRDefault="00E27E8B">
        <w:pPr>
          <w:pStyle w:val="a4"/>
          <w:jc w:val="center"/>
          <w:rPr>
            <w:rFonts w:ascii="Times New Roman" w:hAnsi="Times New Roman" w:cs="Times New Roman"/>
            <w:sz w:val="24"/>
            <w:szCs w:val="24"/>
          </w:rPr>
        </w:pPr>
        <w:r w:rsidRPr="006476C2">
          <w:rPr>
            <w:rFonts w:ascii="Times New Roman" w:hAnsi="Times New Roman" w:cs="Times New Roman"/>
            <w:sz w:val="24"/>
            <w:szCs w:val="24"/>
          </w:rPr>
          <w:fldChar w:fldCharType="begin"/>
        </w:r>
        <w:r w:rsidR="006476C2" w:rsidRPr="006476C2">
          <w:rPr>
            <w:rFonts w:ascii="Times New Roman" w:hAnsi="Times New Roman" w:cs="Times New Roman"/>
            <w:sz w:val="24"/>
            <w:szCs w:val="24"/>
          </w:rPr>
          <w:instrText xml:space="preserve"> PAGE   \* MERGEFORMAT </w:instrText>
        </w:r>
        <w:r w:rsidRPr="006476C2">
          <w:rPr>
            <w:rFonts w:ascii="Times New Roman" w:hAnsi="Times New Roman" w:cs="Times New Roman"/>
            <w:sz w:val="24"/>
            <w:szCs w:val="24"/>
          </w:rPr>
          <w:fldChar w:fldCharType="separate"/>
        </w:r>
        <w:r w:rsidR="005620FD" w:rsidRPr="005620FD">
          <w:rPr>
            <w:rFonts w:ascii="Times New Roman" w:hAnsi="Times New Roman" w:cs="Times New Roman"/>
            <w:noProof/>
            <w:sz w:val="24"/>
            <w:szCs w:val="24"/>
            <w:lang w:val="zh-CN"/>
          </w:rPr>
          <w:t>-</w:t>
        </w:r>
        <w:r w:rsidR="005620FD">
          <w:rPr>
            <w:rFonts w:ascii="Times New Roman" w:hAnsi="Times New Roman" w:cs="Times New Roman"/>
            <w:noProof/>
            <w:sz w:val="24"/>
            <w:szCs w:val="24"/>
          </w:rPr>
          <w:t xml:space="preserve"> 2 -</w:t>
        </w:r>
        <w:r w:rsidRPr="006476C2">
          <w:rPr>
            <w:rFonts w:ascii="Times New Roman" w:hAnsi="Times New Roman" w:cs="Times New Roman"/>
            <w:sz w:val="24"/>
            <w:szCs w:val="24"/>
          </w:rPr>
          <w:fldChar w:fldCharType="end"/>
        </w:r>
      </w:p>
    </w:sdtContent>
  </w:sdt>
  <w:p w:rsidR="006476C2" w:rsidRDefault="006476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0C" w:rsidRDefault="00EB650C" w:rsidP="00760856">
      <w:r>
        <w:separator/>
      </w:r>
    </w:p>
  </w:footnote>
  <w:footnote w:type="continuationSeparator" w:id="0">
    <w:p w:rsidR="00EB650C" w:rsidRDefault="00EB650C" w:rsidP="0076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856"/>
    <w:rsid w:val="00042773"/>
    <w:rsid w:val="00116C2A"/>
    <w:rsid w:val="001B13B0"/>
    <w:rsid w:val="001C1829"/>
    <w:rsid w:val="00225DD1"/>
    <w:rsid w:val="002652D4"/>
    <w:rsid w:val="002F2EE6"/>
    <w:rsid w:val="003C5F59"/>
    <w:rsid w:val="00424552"/>
    <w:rsid w:val="004A1689"/>
    <w:rsid w:val="005143C5"/>
    <w:rsid w:val="00531A21"/>
    <w:rsid w:val="00543C66"/>
    <w:rsid w:val="005620FD"/>
    <w:rsid w:val="00572B0F"/>
    <w:rsid w:val="005E5031"/>
    <w:rsid w:val="00626AC7"/>
    <w:rsid w:val="006476C2"/>
    <w:rsid w:val="006523F4"/>
    <w:rsid w:val="006A49B7"/>
    <w:rsid w:val="00760856"/>
    <w:rsid w:val="00765168"/>
    <w:rsid w:val="00766FE9"/>
    <w:rsid w:val="007E7567"/>
    <w:rsid w:val="00803CE2"/>
    <w:rsid w:val="00813B15"/>
    <w:rsid w:val="0094099D"/>
    <w:rsid w:val="0097245B"/>
    <w:rsid w:val="00985A45"/>
    <w:rsid w:val="009C46C9"/>
    <w:rsid w:val="009E53FC"/>
    <w:rsid w:val="00A528BF"/>
    <w:rsid w:val="00AB23A1"/>
    <w:rsid w:val="00AE22A3"/>
    <w:rsid w:val="00B33ACE"/>
    <w:rsid w:val="00B37CD1"/>
    <w:rsid w:val="00B94245"/>
    <w:rsid w:val="00C04609"/>
    <w:rsid w:val="00C86C8B"/>
    <w:rsid w:val="00CD7707"/>
    <w:rsid w:val="00D72A79"/>
    <w:rsid w:val="00DC4341"/>
    <w:rsid w:val="00E27E8B"/>
    <w:rsid w:val="00E60992"/>
    <w:rsid w:val="00EB650C"/>
    <w:rsid w:val="00ED38ED"/>
    <w:rsid w:val="00ED4820"/>
    <w:rsid w:val="00EF66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8DFF4-79F3-4D38-A037-578B202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856"/>
    <w:rPr>
      <w:sz w:val="18"/>
      <w:szCs w:val="18"/>
    </w:rPr>
  </w:style>
  <w:style w:type="paragraph" w:styleId="a4">
    <w:name w:val="footer"/>
    <w:basedOn w:val="a"/>
    <w:link w:val="Char0"/>
    <w:uiPriority w:val="99"/>
    <w:unhideWhenUsed/>
    <w:rsid w:val="00760856"/>
    <w:pPr>
      <w:tabs>
        <w:tab w:val="center" w:pos="4153"/>
        <w:tab w:val="right" w:pos="8306"/>
      </w:tabs>
      <w:snapToGrid w:val="0"/>
      <w:jc w:val="left"/>
    </w:pPr>
    <w:rPr>
      <w:sz w:val="18"/>
      <w:szCs w:val="18"/>
    </w:rPr>
  </w:style>
  <w:style w:type="character" w:customStyle="1" w:styleId="Char0">
    <w:name w:val="页脚 Char"/>
    <w:basedOn w:val="a0"/>
    <w:link w:val="a4"/>
    <w:uiPriority w:val="99"/>
    <w:rsid w:val="00760856"/>
    <w:rPr>
      <w:sz w:val="18"/>
      <w:szCs w:val="18"/>
    </w:rPr>
  </w:style>
  <w:style w:type="paragraph" w:styleId="a5">
    <w:name w:val="List Paragraph"/>
    <w:basedOn w:val="a"/>
    <w:uiPriority w:val="34"/>
    <w:qFormat/>
    <w:rsid w:val="00760856"/>
    <w:pPr>
      <w:ind w:firstLineChars="200" w:firstLine="420"/>
    </w:pPr>
  </w:style>
  <w:style w:type="paragraph" w:styleId="a6">
    <w:name w:val="Date"/>
    <w:basedOn w:val="a"/>
    <w:next w:val="a"/>
    <w:link w:val="Char1"/>
    <w:uiPriority w:val="99"/>
    <w:semiHidden/>
    <w:unhideWhenUsed/>
    <w:rsid w:val="00042773"/>
    <w:pPr>
      <w:ind w:leftChars="2500" w:left="100"/>
    </w:pPr>
  </w:style>
  <w:style w:type="character" w:customStyle="1" w:styleId="Char1">
    <w:name w:val="日期 Char"/>
    <w:basedOn w:val="a0"/>
    <w:link w:val="a6"/>
    <w:uiPriority w:val="99"/>
    <w:semiHidden/>
    <w:rsid w:val="00042773"/>
  </w:style>
  <w:style w:type="paragraph" w:customStyle="1" w:styleId="1">
    <w:name w:val="列出段落1"/>
    <w:basedOn w:val="a"/>
    <w:uiPriority w:val="34"/>
    <w:qFormat/>
    <w:rsid w:val="000427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21</Pages>
  <Words>1466</Words>
  <Characters>8357</Characters>
  <Application>Microsoft Office Word</Application>
  <DocSecurity>0</DocSecurity>
  <Lines>69</Lines>
  <Paragraphs>19</Paragraphs>
  <ScaleCrop>false</ScaleCrop>
  <Company>Microsoft</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201506</dc:creator>
  <cp:keywords/>
  <dc:description/>
  <cp:lastModifiedBy>dreamsummit</cp:lastModifiedBy>
  <cp:revision>19</cp:revision>
  <dcterms:created xsi:type="dcterms:W3CDTF">2017-10-09T02:26:00Z</dcterms:created>
  <dcterms:modified xsi:type="dcterms:W3CDTF">2022-01-04T08:00:00Z</dcterms:modified>
</cp:coreProperties>
</file>